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79FE" w:rsidRDefault="005179FE" w:rsidP="005179FE">
      <w:pPr>
        <w:ind w:hanging="709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ЛЕКЦИЯ 14</w:t>
      </w:r>
    </w:p>
    <w:p w:rsidR="005179FE" w:rsidRPr="0014269C" w:rsidRDefault="005179FE" w:rsidP="005179FE">
      <w:pPr>
        <w:ind w:hanging="709"/>
        <w:rPr>
          <w:b/>
          <w:sz w:val="16"/>
          <w:szCs w:val="16"/>
        </w:rPr>
      </w:pPr>
      <w:r>
        <w:rPr>
          <w:b/>
          <w:sz w:val="28"/>
          <w:szCs w:val="28"/>
        </w:rPr>
        <w:t xml:space="preserve">         </w:t>
      </w:r>
    </w:p>
    <w:p w:rsidR="005179FE" w:rsidRPr="0014269C" w:rsidRDefault="005179FE" w:rsidP="005179FE">
      <w:pPr>
        <w:ind w:hanging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Pr="00063A7F">
        <w:rPr>
          <w:b/>
          <w:sz w:val="28"/>
          <w:szCs w:val="28"/>
        </w:rPr>
        <w:t>Диагностика питания растений и система удобрения сельскохозяйственных культур в севооборотах</w:t>
      </w:r>
    </w:p>
    <w:p w:rsidR="005179FE" w:rsidRPr="00063A7F" w:rsidRDefault="005179FE" w:rsidP="005179FE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</w:t>
      </w:r>
      <w:r w:rsidRPr="00063A7F">
        <w:rPr>
          <w:b/>
          <w:sz w:val="28"/>
          <w:szCs w:val="28"/>
        </w:rPr>
        <w:t>1. Почвенная диагностика</w:t>
      </w:r>
    </w:p>
    <w:p w:rsidR="005179FE" w:rsidRPr="00063A7F" w:rsidRDefault="005179FE" w:rsidP="005179FE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</w:t>
      </w:r>
      <w:r w:rsidRPr="00063A7F">
        <w:rPr>
          <w:b/>
          <w:sz w:val="28"/>
          <w:szCs w:val="28"/>
        </w:rPr>
        <w:t>2. Растительная диагностика</w:t>
      </w:r>
    </w:p>
    <w:p w:rsidR="005179FE" w:rsidRPr="00706EF8" w:rsidRDefault="005179FE" w:rsidP="005179FE">
      <w:pPr>
        <w:ind w:firstLine="708"/>
        <w:jc w:val="both"/>
        <w:rPr>
          <w:sz w:val="16"/>
          <w:szCs w:val="16"/>
        </w:rPr>
      </w:pPr>
    </w:p>
    <w:p w:rsidR="005179FE" w:rsidRPr="0014269C" w:rsidRDefault="005179FE" w:rsidP="005179FE">
      <w:pPr>
        <w:jc w:val="both"/>
        <w:rPr>
          <w:sz w:val="16"/>
          <w:szCs w:val="16"/>
        </w:rPr>
      </w:pPr>
    </w:p>
    <w:p w:rsidR="005179FE" w:rsidRPr="0014269C" w:rsidRDefault="005179FE" w:rsidP="005179FE">
      <w:pPr>
        <w:jc w:val="both"/>
        <w:rPr>
          <w:b/>
          <w:sz w:val="28"/>
          <w:szCs w:val="28"/>
        </w:rPr>
      </w:pPr>
      <w:r w:rsidRPr="0014269C">
        <w:rPr>
          <w:b/>
          <w:sz w:val="28"/>
          <w:szCs w:val="28"/>
        </w:rPr>
        <w:t xml:space="preserve">            Диагностика питания растений</w:t>
      </w:r>
    </w:p>
    <w:p w:rsidR="005179FE" w:rsidRPr="0014269C" w:rsidRDefault="005179FE" w:rsidP="005179FE">
      <w:pPr>
        <w:ind w:firstLine="708"/>
        <w:jc w:val="both"/>
        <w:rPr>
          <w:sz w:val="16"/>
          <w:szCs w:val="16"/>
        </w:rPr>
      </w:pP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Наиболее доступным фактором регулирования жизнедеятельности растений является минеральное питание, поэтому главной задачей агрохимиков, почвоведов, растениеводов и физиологов растений является своевременное и направленное воздействие через процессы питания на ход формирования урожая, что возможно только при правильной диагностике питания растений, то есть своевременном выявлении недостатка питательных элементов.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Химический состав у разных видов растений различен и во многом зависит от количества, форм и способов внесения органических и минеральных удобрений, доступности элементов питания почвы.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Содержание химических элементов в растений и ее органах определяется спецификой, процессами биосинтеза, </w:t>
      </w:r>
      <w:proofErr w:type="gramStart"/>
      <w:r>
        <w:rPr>
          <w:sz w:val="28"/>
          <w:szCs w:val="28"/>
        </w:rPr>
        <w:t>физиологическим</w:t>
      </w:r>
      <w:proofErr w:type="gramEnd"/>
      <w:r>
        <w:rPr>
          <w:sz w:val="28"/>
          <w:szCs w:val="28"/>
        </w:rPr>
        <w:t xml:space="preserve"> состояние органов и тканей. Только постоянное обеспечение растений необходимыми элементами питания в оптимальных их соотношениях на протяжении всего вегетационного периода позволяет максимально использовать биологический потенциал каждого сорта.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определенные фазы вегетации требуется различные количества и различные соотношения питательных элементов, что обусловливает необходимость управляемого поступления их  в течение всего периода жизнедеятельности растительного организма, что возможно только при использовании методов комплексной диагностики питания растений.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Комплексная диагностика предусматривает регулярное выполнение агрохимического анализа почв и оперативную диагностику питания растений в течение вегетации.</w:t>
      </w:r>
    </w:p>
    <w:p w:rsidR="005179FE" w:rsidRPr="0014269C" w:rsidRDefault="005179FE" w:rsidP="005179FE">
      <w:pPr>
        <w:jc w:val="both"/>
        <w:rPr>
          <w:b/>
          <w:sz w:val="16"/>
          <w:szCs w:val="16"/>
        </w:rPr>
      </w:pPr>
    </w:p>
    <w:p w:rsidR="005179FE" w:rsidRPr="00063A7F" w:rsidRDefault="005179FE" w:rsidP="005179FE">
      <w:pPr>
        <w:ind w:firstLine="708"/>
        <w:jc w:val="both"/>
        <w:rPr>
          <w:b/>
          <w:sz w:val="28"/>
          <w:szCs w:val="28"/>
        </w:rPr>
      </w:pPr>
      <w:r w:rsidRPr="00063A7F">
        <w:rPr>
          <w:b/>
          <w:sz w:val="28"/>
          <w:szCs w:val="28"/>
        </w:rPr>
        <w:t>Вопрос 1. Почвенная диагностика</w:t>
      </w:r>
    </w:p>
    <w:p w:rsidR="005179FE" w:rsidRPr="0014269C" w:rsidRDefault="005179FE" w:rsidP="005179FE">
      <w:pPr>
        <w:ind w:firstLine="708"/>
        <w:jc w:val="both"/>
        <w:rPr>
          <w:sz w:val="16"/>
          <w:szCs w:val="16"/>
        </w:rPr>
      </w:pP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Почвенная диагностика – это агрохимическое обследование почв на содержание доступных для растений форм питательных элементов </w:t>
      </w:r>
      <w:r>
        <w:rPr>
          <w:sz w:val="28"/>
          <w:szCs w:val="28"/>
          <w:lang w:val="en-US"/>
        </w:rPr>
        <w:t>N</w:t>
      </w:r>
      <w:r w:rsidRPr="00063A7F"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, К, </w:t>
      </w:r>
      <w:proofErr w:type="spellStart"/>
      <w:r>
        <w:rPr>
          <w:sz w:val="28"/>
          <w:szCs w:val="28"/>
        </w:rPr>
        <w:t>Са</w:t>
      </w:r>
      <w:proofErr w:type="spellEnd"/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Mg</w:t>
      </w:r>
      <w:r w:rsidRPr="00063A7F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S</w:t>
      </w:r>
      <w:r w:rsidRPr="00063A7F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В, </w:t>
      </w:r>
      <w:proofErr w:type="spellStart"/>
      <w:r>
        <w:rPr>
          <w:sz w:val="28"/>
          <w:szCs w:val="28"/>
          <w:lang w:val="en-US"/>
        </w:rPr>
        <w:t>Mn</w:t>
      </w:r>
      <w:proofErr w:type="spellEnd"/>
      <w:r w:rsidRPr="00063A7F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Zn</w:t>
      </w:r>
      <w:r w:rsidRPr="00063A7F">
        <w:rPr>
          <w:sz w:val="28"/>
          <w:szCs w:val="28"/>
        </w:rPr>
        <w:t xml:space="preserve">, </w:t>
      </w:r>
      <w:r>
        <w:rPr>
          <w:sz w:val="28"/>
          <w:szCs w:val="28"/>
        </w:rPr>
        <w:t>Мо, С</w:t>
      </w:r>
      <w:r>
        <w:rPr>
          <w:sz w:val="28"/>
          <w:szCs w:val="28"/>
          <w:lang w:val="en-US"/>
        </w:rPr>
        <w:t>u</w:t>
      </w:r>
      <w:r>
        <w:rPr>
          <w:sz w:val="28"/>
          <w:szCs w:val="28"/>
        </w:rPr>
        <w:t xml:space="preserve"> и других, гумуса, </w:t>
      </w:r>
      <w:proofErr w:type="spellStart"/>
      <w:r>
        <w:rPr>
          <w:sz w:val="28"/>
          <w:szCs w:val="28"/>
        </w:rPr>
        <w:t>рН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Нг</w:t>
      </w:r>
      <w:proofErr w:type="spellEnd"/>
      <w:r>
        <w:rPr>
          <w:sz w:val="28"/>
          <w:szCs w:val="28"/>
        </w:rPr>
        <w:t xml:space="preserve">, и </w:t>
      </w:r>
      <w:proofErr w:type="spellStart"/>
      <w:r>
        <w:rPr>
          <w:sz w:val="28"/>
          <w:szCs w:val="28"/>
        </w:rPr>
        <w:t>Н</w:t>
      </w:r>
      <w:r w:rsidRPr="00063A7F">
        <w:rPr>
          <w:sz w:val="28"/>
          <w:szCs w:val="28"/>
          <w:vertAlign w:val="subscript"/>
        </w:rPr>
        <w:t>обм</w:t>
      </w:r>
      <w:proofErr w:type="spellEnd"/>
      <w:r>
        <w:rPr>
          <w:sz w:val="28"/>
          <w:szCs w:val="28"/>
        </w:rPr>
        <w:t>.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Основным методом определения доз удобрений под запланированный урожай с.-х. культур является проведение долговременных полевых опытов. </w:t>
      </w:r>
      <w:proofErr w:type="gramStart"/>
      <w:r>
        <w:rPr>
          <w:sz w:val="28"/>
          <w:szCs w:val="28"/>
        </w:rPr>
        <w:t>По данным этих опытов разработана система деления почв на группы по содержанию в них доступных для растений</w:t>
      </w:r>
      <w:proofErr w:type="gramEnd"/>
      <w:r>
        <w:rPr>
          <w:sz w:val="28"/>
          <w:szCs w:val="28"/>
        </w:rPr>
        <w:t xml:space="preserve"> питательных вещества во всех почвенно-климатических зонах.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А обобщение данных полевых опытов позволило получить более точные значения коэффициентов использования питательных веществ почвы и удобрений (таблица 1).</w:t>
      </w:r>
    </w:p>
    <w:p w:rsidR="005179FE" w:rsidRPr="0014269C" w:rsidRDefault="005179FE" w:rsidP="005179FE">
      <w:pPr>
        <w:rPr>
          <w:sz w:val="16"/>
          <w:szCs w:val="16"/>
        </w:rPr>
      </w:pPr>
    </w:p>
    <w:p w:rsidR="005179FE" w:rsidRPr="00706EF8" w:rsidRDefault="005179FE" w:rsidP="005179FE">
      <w:pPr>
        <w:rPr>
          <w:b/>
          <w:sz w:val="28"/>
          <w:szCs w:val="28"/>
        </w:rPr>
      </w:pPr>
      <w:r w:rsidRPr="00706EF8">
        <w:rPr>
          <w:b/>
          <w:sz w:val="28"/>
          <w:szCs w:val="28"/>
        </w:rPr>
        <w:t>Таблица 1</w:t>
      </w:r>
    </w:p>
    <w:p w:rsidR="005179FE" w:rsidRPr="00706EF8" w:rsidRDefault="005179FE" w:rsidP="005179FE">
      <w:pPr>
        <w:rPr>
          <w:b/>
          <w:sz w:val="16"/>
          <w:szCs w:val="16"/>
        </w:rPr>
      </w:pPr>
    </w:p>
    <w:p w:rsidR="005179FE" w:rsidRPr="00706EF8" w:rsidRDefault="005179FE" w:rsidP="005179FE">
      <w:pPr>
        <w:ind w:firstLine="708"/>
        <w:jc w:val="center"/>
        <w:rPr>
          <w:b/>
          <w:sz w:val="28"/>
          <w:szCs w:val="28"/>
        </w:rPr>
      </w:pPr>
      <w:r w:rsidRPr="00706EF8">
        <w:rPr>
          <w:b/>
          <w:sz w:val="28"/>
          <w:szCs w:val="28"/>
        </w:rPr>
        <w:t>Коэффициенты использования питательных веществ почвы и удобрений с.-х. культурами, %</w:t>
      </w:r>
    </w:p>
    <w:p w:rsidR="005179FE" w:rsidRPr="00706EF8" w:rsidRDefault="005179FE" w:rsidP="005179FE">
      <w:pPr>
        <w:ind w:firstLine="708"/>
        <w:jc w:val="center"/>
        <w:rPr>
          <w:b/>
          <w:sz w:val="16"/>
          <w:szCs w:val="16"/>
        </w:rPr>
      </w:pPr>
    </w:p>
    <w:tbl>
      <w:tblPr>
        <w:tblW w:w="9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731"/>
        <w:gridCol w:w="1443"/>
        <w:gridCol w:w="1341"/>
        <w:gridCol w:w="1443"/>
        <w:gridCol w:w="1444"/>
        <w:gridCol w:w="1444"/>
      </w:tblGrid>
      <w:tr w:rsidR="005179FE" w:rsidRPr="007C6859" w:rsidTr="0096458E">
        <w:trPr>
          <w:trHeight w:val="622"/>
        </w:trPr>
        <w:tc>
          <w:tcPr>
            <w:tcW w:w="2731" w:type="dxa"/>
            <w:vMerge w:val="restart"/>
            <w:shd w:val="clear" w:color="auto" w:fill="auto"/>
            <w:vAlign w:val="center"/>
          </w:tcPr>
          <w:p w:rsidR="005179FE" w:rsidRPr="007C6859" w:rsidRDefault="005179FE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Культура</w:t>
            </w:r>
          </w:p>
        </w:tc>
        <w:tc>
          <w:tcPr>
            <w:tcW w:w="2783" w:type="dxa"/>
            <w:gridSpan w:val="2"/>
            <w:shd w:val="clear" w:color="auto" w:fill="auto"/>
            <w:vAlign w:val="center"/>
          </w:tcPr>
          <w:p w:rsidR="005179FE" w:rsidRPr="007C6859" w:rsidRDefault="005179FE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Почва</w:t>
            </w:r>
          </w:p>
        </w:tc>
        <w:tc>
          <w:tcPr>
            <w:tcW w:w="4330" w:type="dxa"/>
            <w:gridSpan w:val="3"/>
            <w:shd w:val="clear" w:color="auto" w:fill="auto"/>
            <w:vAlign w:val="center"/>
          </w:tcPr>
          <w:p w:rsidR="005179FE" w:rsidRPr="007C6859" w:rsidRDefault="005179FE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Удобрение</w:t>
            </w:r>
          </w:p>
        </w:tc>
      </w:tr>
      <w:tr w:rsidR="005179FE" w:rsidRPr="007C6859" w:rsidTr="0096458E">
        <w:trPr>
          <w:trHeight w:val="187"/>
        </w:trPr>
        <w:tc>
          <w:tcPr>
            <w:tcW w:w="2731" w:type="dxa"/>
            <w:vMerge/>
            <w:shd w:val="clear" w:color="auto" w:fill="auto"/>
            <w:vAlign w:val="center"/>
          </w:tcPr>
          <w:p w:rsidR="005179FE" w:rsidRPr="007C6859" w:rsidRDefault="005179FE" w:rsidP="0096458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3" w:type="dxa"/>
            <w:shd w:val="clear" w:color="auto" w:fill="auto"/>
            <w:vAlign w:val="center"/>
          </w:tcPr>
          <w:p w:rsidR="005179FE" w:rsidRPr="007C6859" w:rsidRDefault="005179FE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Р</w:t>
            </w:r>
            <w:r w:rsidRPr="007C6859">
              <w:rPr>
                <w:sz w:val="28"/>
                <w:szCs w:val="28"/>
                <w:vertAlign w:val="subscript"/>
              </w:rPr>
              <w:t>2</w:t>
            </w:r>
            <w:r w:rsidRPr="007C6859">
              <w:rPr>
                <w:sz w:val="28"/>
                <w:szCs w:val="28"/>
              </w:rPr>
              <w:t>О</w:t>
            </w:r>
            <w:r w:rsidRPr="007C6859">
              <w:rPr>
                <w:sz w:val="28"/>
                <w:szCs w:val="28"/>
                <w:vertAlign w:val="subscript"/>
              </w:rPr>
              <w:t>5</w:t>
            </w:r>
          </w:p>
        </w:tc>
        <w:tc>
          <w:tcPr>
            <w:tcW w:w="1341" w:type="dxa"/>
            <w:shd w:val="clear" w:color="auto" w:fill="auto"/>
            <w:vAlign w:val="center"/>
          </w:tcPr>
          <w:p w:rsidR="005179FE" w:rsidRPr="007C6859" w:rsidRDefault="005179FE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К</w:t>
            </w:r>
            <w:r w:rsidRPr="007C6859">
              <w:rPr>
                <w:sz w:val="28"/>
                <w:szCs w:val="28"/>
                <w:vertAlign w:val="subscript"/>
              </w:rPr>
              <w:t>2</w:t>
            </w:r>
            <w:r w:rsidRPr="007C6859">
              <w:rPr>
                <w:sz w:val="28"/>
                <w:szCs w:val="28"/>
              </w:rPr>
              <w:t>О</w:t>
            </w:r>
          </w:p>
        </w:tc>
        <w:tc>
          <w:tcPr>
            <w:tcW w:w="1443" w:type="dxa"/>
            <w:shd w:val="clear" w:color="auto" w:fill="auto"/>
            <w:vAlign w:val="center"/>
          </w:tcPr>
          <w:p w:rsidR="005179FE" w:rsidRPr="007C6859" w:rsidRDefault="005179FE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  <w:lang w:val="en-US"/>
              </w:rPr>
              <w:t>N</w:t>
            </w:r>
          </w:p>
        </w:tc>
        <w:tc>
          <w:tcPr>
            <w:tcW w:w="1444" w:type="dxa"/>
            <w:shd w:val="clear" w:color="auto" w:fill="auto"/>
            <w:vAlign w:val="center"/>
          </w:tcPr>
          <w:p w:rsidR="005179FE" w:rsidRPr="007C6859" w:rsidRDefault="005179FE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Р</w:t>
            </w:r>
            <w:r w:rsidRPr="007C6859">
              <w:rPr>
                <w:sz w:val="28"/>
                <w:szCs w:val="28"/>
                <w:vertAlign w:val="subscript"/>
              </w:rPr>
              <w:t>2</w:t>
            </w:r>
            <w:r w:rsidRPr="007C6859">
              <w:rPr>
                <w:sz w:val="28"/>
                <w:szCs w:val="28"/>
              </w:rPr>
              <w:t>О</w:t>
            </w:r>
            <w:r w:rsidRPr="007C6859">
              <w:rPr>
                <w:sz w:val="28"/>
                <w:szCs w:val="28"/>
                <w:vertAlign w:val="subscript"/>
              </w:rPr>
              <w:t>5</w:t>
            </w:r>
          </w:p>
        </w:tc>
        <w:tc>
          <w:tcPr>
            <w:tcW w:w="1444" w:type="dxa"/>
            <w:shd w:val="clear" w:color="auto" w:fill="auto"/>
            <w:vAlign w:val="center"/>
          </w:tcPr>
          <w:p w:rsidR="005179FE" w:rsidRPr="007C6859" w:rsidRDefault="005179FE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К</w:t>
            </w:r>
            <w:r w:rsidRPr="007C6859">
              <w:rPr>
                <w:sz w:val="28"/>
                <w:szCs w:val="28"/>
                <w:vertAlign w:val="subscript"/>
              </w:rPr>
              <w:t>2</w:t>
            </w:r>
            <w:r w:rsidRPr="007C6859">
              <w:rPr>
                <w:sz w:val="28"/>
                <w:szCs w:val="28"/>
              </w:rPr>
              <w:t>О</w:t>
            </w:r>
          </w:p>
        </w:tc>
      </w:tr>
      <w:tr w:rsidR="005179FE" w:rsidRPr="007C6859" w:rsidTr="0096458E">
        <w:trPr>
          <w:trHeight w:val="1263"/>
        </w:trPr>
        <w:tc>
          <w:tcPr>
            <w:tcW w:w="2731" w:type="dxa"/>
            <w:shd w:val="clear" w:color="auto" w:fill="auto"/>
            <w:vAlign w:val="center"/>
          </w:tcPr>
          <w:p w:rsidR="005179FE" w:rsidRPr="007C6859" w:rsidRDefault="005179FE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Озимая пшеница</w:t>
            </w:r>
          </w:p>
          <w:p w:rsidR="005179FE" w:rsidRPr="007C6859" w:rsidRDefault="005179FE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Яровая пшеница</w:t>
            </w:r>
          </w:p>
          <w:p w:rsidR="005179FE" w:rsidRPr="007C6859" w:rsidRDefault="005179FE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Картофель</w:t>
            </w:r>
          </w:p>
          <w:p w:rsidR="005179FE" w:rsidRPr="007C6859" w:rsidRDefault="005179FE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Сахарная свекла</w:t>
            </w:r>
          </w:p>
          <w:p w:rsidR="005179FE" w:rsidRPr="007C6859" w:rsidRDefault="005179FE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Лен-долгунец</w:t>
            </w:r>
          </w:p>
        </w:tc>
        <w:tc>
          <w:tcPr>
            <w:tcW w:w="1443" w:type="dxa"/>
            <w:shd w:val="clear" w:color="auto" w:fill="auto"/>
            <w:vAlign w:val="center"/>
          </w:tcPr>
          <w:p w:rsidR="005179FE" w:rsidRPr="007C6859" w:rsidRDefault="005179FE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3,4-33,0</w:t>
            </w:r>
          </w:p>
          <w:p w:rsidR="005179FE" w:rsidRPr="007C6859" w:rsidRDefault="005179FE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2,6-46,5</w:t>
            </w:r>
          </w:p>
          <w:p w:rsidR="005179FE" w:rsidRPr="007C6859" w:rsidRDefault="005179FE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7,8-52,4</w:t>
            </w:r>
          </w:p>
          <w:p w:rsidR="005179FE" w:rsidRPr="007C6859" w:rsidRDefault="005179FE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5,4-52,6</w:t>
            </w:r>
          </w:p>
          <w:p w:rsidR="005179FE" w:rsidRPr="007C6859" w:rsidRDefault="005179FE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5,9-31,6</w:t>
            </w:r>
          </w:p>
        </w:tc>
        <w:tc>
          <w:tcPr>
            <w:tcW w:w="1341" w:type="dxa"/>
            <w:shd w:val="clear" w:color="auto" w:fill="auto"/>
            <w:vAlign w:val="center"/>
          </w:tcPr>
          <w:p w:rsidR="005179FE" w:rsidRPr="007C6859" w:rsidRDefault="005179FE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8,5-46,0</w:t>
            </w:r>
          </w:p>
          <w:p w:rsidR="005179FE" w:rsidRPr="007C6859" w:rsidRDefault="005179FE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2,1-32,7</w:t>
            </w:r>
          </w:p>
          <w:p w:rsidR="005179FE" w:rsidRPr="007C6859" w:rsidRDefault="005179FE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17,6-55,7</w:t>
            </w:r>
          </w:p>
          <w:p w:rsidR="005179FE" w:rsidRPr="007C6859" w:rsidRDefault="005179FE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20,0-89,6</w:t>
            </w:r>
          </w:p>
          <w:p w:rsidR="005179FE" w:rsidRPr="007C6859" w:rsidRDefault="005179FE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24,8-60,0</w:t>
            </w:r>
          </w:p>
        </w:tc>
        <w:tc>
          <w:tcPr>
            <w:tcW w:w="1443" w:type="dxa"/>
            <w:shd w:val="clear" w:color="auto" w:fill="auto"/>
            <w:vAlign w:val="center"/>
          </w:tcPr>
          <w:p w:rsidR="005179FE" w:rsidRPr="007C6859" w:rsidRDefault="005179FE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23,6-39,1</w:t>
            </w:r>
          </w:p>
          <w:p w:rsidR="005179FE" w:rsidRPr="007C6859" w:rsidRDefault="005179FE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16,2-47,6</w:t>
            </w:r>
          </w:p>
          <w:p w:rsidR="005179FE" w:rsidRPr="007C6859" w:rsidRDefault="005179FE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17,0-38,8</w:t>
            </w:r>
          </w:p>
          <w:p w:rsidR="005179FE" w:rsidRPr="007C6859" w:rsidRDefault="005179FE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22,8-43,9</w:t>
            </w:r>
          </w:p>
          <w:p w:rsidR="005179FE" w:rsidRPr="007C6859" w:rsidRDefault="005179FE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66,9-80,6</w:t>
            </w:r>
          </w:p>
        </w:tc>
        <w:tc>
          <w:tcPr>
            <w:tcW w:w="1444" w:type="dxa"/>
            <w:shd w:val="clear" w:color="auto" w:fill="auto"/>
            <w:vAlign w:val="center"/>
          </w:tcPr>
          <w:p w:rsidR="005179FE" w:rsidRPr="007C6859" w:rsidRDefault="005179FE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8,4-14,7</w:t>
            </w:r>
          </w:p>
          <w:p w:rsidR="005179FE" w:rsidRPr="007C6859" w:rsidRDefault="005179FE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4,1-11,6</w:t>
            </w:r>
          </w:p>
          <w:p w:rsidR="005179FE" w:rsidRPr="007C6859" w:rsidRDefault="005179FE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7,6-46,1</w:t>
            </w:r>
          </w:p>
          <w:p w:rsidR="005179FE" w:rsidRPr="007C6859" w:rsidRDefault="005179FE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7,8-12,5</w:t>
            </w:r>
          </w:p>
          <w:p w:rsidR="005179FE" w:rsidRPr="007C6859" w:rsidRDefault="005179FE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15,2-18,5</w:t>
            </w:r>
          </w:p>
        </w:tc>
        <w:tc>
          <w:tcPr>
            <w:tcW w:w="1444" w:type="dxa"/>
            <w:shd w:val="clear" w:color="auto" w:fill="auto"/>
            <w:vAlign w:val="center"/>
          </w:tcPr>
          <w:p w:rsidR="005179FE" w:rsidRPr="007C6859" w:rsidRDefault="005179FE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13,6-22,6</w:t>
            </w:r>
          </w:p>
          <w:p w:rsidR="005179FE" w:rsidRPr="007C6859" w:rsidRDefault="005179FE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11,7-41,6</w:t>
            </w:r>
          </w:p>
          <w:p w:rsidR="005179FE" w:rsidRPr="007C6859" w:rsidRDefault="005179FE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19,8-58,7</w:t>
            </w:r>
          </w:p>
          <w:p w:rsidR="005179FE" w:rsidRPr="007C6859" w:rsidRDefault="005179FE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19,9-38,6</w:t>
            </w:r>
          </w:p>
          <w:p w:rsidR="005179FE" w:rsidRPr="007C6859" w:rsidRDefault="005179FE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26,9-94,7</w:t>
            </w:r>
          </w:p>
        </w:tc>
      </w:tr>
    </w:tbl>
    <w:p w:rsidR="005179FE" w:rsidRPr="00063A7F" w:rsidRDefault="005179FE" w:rsidP="005179FE">
      <w:pPr>
        <w:jc w:val="both"/>
        <w:rPr>
          <w:sz w:val="28"/>
          <w:szCs w:val="28"/>
        </w:rPr>
      </w:pP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Большое внимание уделяется вопросам прогнозирования эффективности азотных удобрений. Установлено, например, что для Нечерноземной зоны оптимальный срок проведения агрохимического обследования почвы на содержание минерального азота (нитратного и аммиачного) – весна, а для Западной и Восточной Сибири и некоторых областей Зауралья – осень.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Для учета всего доступного растениям минерального азота необходимо определить его запасы в слое почвы от 0 до </w:t>
      </w:r>
      <w:smartTag w:uri="urn:schemas-microsoft-com:office:smarttags" w:element="metricconverter">
        <w:smartTagPr>
          <w:attr w:name="ProductID" w:val="180 см"/>
        </w:smartTagPr>
        <w:r>
          <w:rPr>
            <w:sz w:val="28"/>
            <w:szCs w:val="28"/>
          </w:rPr>
          <w:t>180 см</w:t>
        </w:r>
      </w:smartTag>
      <w:r>
        <w:rPr>
          <w:sz w:val="28"/>
          <w:szCs w:val="28"/>
        </w:rPr>
        <w:t>. Однако практически во всех с.-х. зонах страны 60-80% азота содержится в слое 0-</w:t>
      </w:r>
      <w:smartTag w:uri="urn:schemas-microsoft-com:office:smarttags" w:element="metricconverter">
        <w:smartTagPr>
          <w:attr w:name="ProductID" w:val="60 см"/>
        </w:smartTagPr>
        <w:r>
          <w:rPr>
            <w:sz w:val="28"/>
            <w:szCs w:val="28"/>
          </w:rPr>
          <w:t>60 см</w:t>
        </w:r>
      </w:smartTag>
      <w:r>
        <w:rPr>
          <w:sz w:val="28"/>
          <w:szCs w:val="28"/>
        </w:rPr>
        <w:t>. В то же время практикой установлено, что для Западной Сибири достаточно проанализировать слой почвы  0-</w:t>
      </w:r>
      <w:smartTag w:uri="urn:schemas-microsoft-com:office:smarttags" w:element="metricconverter">
        <w:smartTagPr>
          <w:attr w:name="ProductID" w:val="40 см"/>
        </w:smartTagPr>
        <w:r>
          <w:rPr>
            <w:sz w:val="28"/>
            <w:szCs w:val="28"/>
          </w:rPr>
          <w:t>40 см</w:t>
        </w:r>
      </w:smartTag>
      <w:r>
        <w:rPr>
          <w:sz w:val="28"/>
          <w:szCs w:val="28"/>
        </w:rPr>
        <w:t>, а для таежно-лесной зоны 0-</w:t>
      </w:r>
      <w:smartTag w:uri="urn:schemas-microsoft-com:office:smarttags" w:element="metricconverter">
        <w:smartTagPr>
          <w:attr w:name="ProductID" w:val="60 см"/>
        </w:smartTagPr>
        <w:r>
          <w:rPr>
            <w:sz w:val="28"/>
            <w:szCs w:val="28"/>
          </w:rPr>
          <w:t>60 см</w:t>
        </w:r>
      </w:smartTag>
      <w:r>
        <w:rPr>
          <w:sz w:val="28"/>
          <w:szCs w:val="28"/>
        </w:rPr>
        <w:t>.</w:t>
      </w:r>
      <w:proofErr w:type="gramEnd"/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Расчет потребности урожая в азоте проводится по формуле:</w:t>
      </w:r>
    </w:p>
    <w:p w:rsidR="005179FE" w:rsidRDefault="005179FE" w:rsidP="005179FE">
      <w:pPr>
        <w:ind w:firstLine="708"/>
        <w:jc w:val="center"/>
        <w:rPr>
          <w:b/>
          <w:sz w:val="28"/>
          <w:szCs w:val="28"/>
        </w:rPr>
      </w:pPr>
      <w:r w:rsidRPr="00C665B3">
        <w:rPr>
          <w:b/>
          <w:position w:val="-14"/>
          <w:sz w:val="28"/>
          <w:szCs w:val="28"/>
        </w:rPr>
        <w:object w:dxaOrig="292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75pt;height:28.5pt" o:ole="">
            <v:imagedata r:id="rId4" o:title=""/>
          </v:shape>
          <o:OLEObject Type="Embed" ProgID="Equation.3" ShapeID="_x0000_i1025" DrawAspect="Content" ObjectID="_1672871899" r:id="rId5"/>
        </w:object>
      </w:r>
    </w:p>
    <w:p w:rsidR="005179FE" w:rsidRPr="0014269C" w:rsidRDefault="005179FE" w:rsidP="005179FE">
      <w:pPr>
        <w:ind w:firstLine="708"/>
        <w:jc w:val="center"/>
        <w:rPr>
          <w:b/>
          <w:sz w:val="16"/>
          <w:szCs w:val="16"/>
        </w:rPr>
      </w:pP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 w:rsidRPr="00C665B3">
        <w:rPr>
          <w:b/>
          <w:i/>
          <w:sz w:val="28"/>
          <w:szCs w:val="28"/>
          <w:lang w:val="en-US"/>
        </w:rPr>
        <w:t>N</w:t>
      </w:r>
      <w:r w:rsidRPr="00C665B3">
        <w:rPr>
          <w:b/>
          <w:i/>
          <w:sz w:val="28"/>
          <w:szCs w:val="28"/>
          <w:vertAlign w:val="subscript"/>
        </w:rPr>
        <w:t>урожая</w:t>
      </w:r>
      <w:r w:rsidRPr="00C665B3"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– вынос азота 1 т урожая, кг/га; </w:t>
      </w:r>
      <w:r w:rsidRPr="00C665B3">
        <w:rPr>
          <w:b/>
          <w:i/>
          <w:sz w:val="28"/>
          <w:szCs w:val="28"/>
          <w:lang w:val="en-US"/>
        </w:rPr>
        <w:t>N</w:t>
      </w:r>
      <w:r w:rsidRPr="00C665B3">
        <w:rPr>
          <w:b/>
          <w:i/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– количество минерального азота органических удобрений, кг/га; </w:t>
      </w:r>
      <w:r w:rsidRPr="00C665B3">
        <w:rPr>
          <w:b/>
          <w:i/>
          <w:sz w:val="28"/>
          <w:szCs w:val="28"/>
          <w:lang w:val="en-US"/>
        </w:rPr>
        <w:t>N</w:t>
      </w:r>
      <w:r w:rsidRPr="00C665B3">
        <w:rPr>
          <w:b/>
          <w:i/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– запасы минерального азота почвы  (нитраты + аммоний), кг/га; </w:t>
      </w:r>
      <w:r w:rsidRPr="00C665B3">
        <w:rPr>
          <w:b/>
          <w:i/>
          <w:sz w:val="28"/>
          <w:szCs w:val="28"/>
          <w:lang w:val="en-US"/>
        </w:rPr>
        <w:t>N</w:t>
      </w:r>
      <w:r w:rsidRPr="00C665B3">
        <w:rPr>
          <w:b/>
          <w:i/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– количество азота, внесенного с минеральными удобрениями, кг/га; </w:t>
      </w:r>
      <w:r w:rsidRPr="00C665B3">
        <w:rPr>
          <w:b/>
          <w:i/>
          <w:sz w:val="28"/>
          <w:szCs w:val="28"/>
        </w:rPr>
        <w:t>Е</w:t>
      </w:r>
      <w:r w:rsidRPr="00C665B3">
        <w:rPr>
          <w:b/>
          <w:i/>
          <w:sz w:val="28"/>
          <w:szCs w:val="28"/>
          <w:vertAlign w:val="subscript"/>
        </w:rPr>
        <w:t>1</w:t>
      </w:r>
      <w:r w:rsidRPr="00C665B3">
        <w:rPr>
          <w:b/>
          <w:i/>
          <w:sz w:val="28"/>
          <w:szCs w:val="28"/>
        </w:rPr>
        <w:t>, Е</w:t>
      </w:r>
      <w:r w:rsidRPr="00C665B3">
        <w:rPr>
          <w:b/>
          <w:i/>
          <w:sz w:val="28"/>
          <w:szCs w:val="28"/>
          <w:vertAlign w:val="subscript"/>
        </w:rPr>
        <w:t>2</w:t>
      </w:r>
      <w:r w:rsidRPr="00C665B3">
        <w:rPr>
          <w:b/>
          <w:i/>
          <w:sz w:val="28"/>
          <w:szCs w:val="28"/>
        </w:rPr>
        <w:t>, Е</w:t>
      </w:r>
      <w:r w:rsidRPr="00C665B3">
        <w:rPr>
          <w:b/>
          <w:i/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– соответствующие коэффициенты использования азота, %.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Если </w:t>
      </w:r>
      <w:r w:rsidRPr="00C665B3">
        <w:rPr>
          <w:b/>
          <w:i/>
          <w:sz w:val="28"/>
          <w:szCs w:val="28"/>
        </w:rPr>
        <w:t>Е</w:t>
      </w:r>
      <w:r w:rsidRPr="00C665B3">
        <w:rPr>
          <w:b/>
          <w:i/>
          <w:sz w:val="28"/>
          <w:szCs w:val="28"/>
          <w:vertAlign w:val="subscript"/>
        </w:rPr>
        <w:t>1</w:t>
      </w:r>
      <w:r w:rsidRPr="00C665B3">
        <w:rPr>
          <w:b/>
          <w:i/>
          <w:sz w:val="28"/>
          <w:szCs w:val="28"/>
        </w:rPr>
        <w:t>, Е</w:t>
      </w:r>
      <w:r w:rsidRPr="00C665B3">
        <w:rPr>
          <w:b/>
          <w:i/>
          <w:sz w:val="28"/>
          <w:szCs w:val="28"/>
          <w:vertAlign w:val="subscript"/>
        </w:rPr>
        <w:t>2</w:t>
      </w:r>
      <w:r w:rsidRPr="00C665B3">
        <w:rPr>
          <w:b/>
          <w:i/>
          <w:sz w:val="28"/>
          <w:szCs w:val="28"/>
        </w:rPr>
        <w:t>, Е</w:t>
      </w:r>
      <w:r w:rsidRPr="00C665B3">
        <w:rPr>
          <w:b/>
          <w:i/>
          <w:sz w:val="28"/>
          <w:szCs w:val="28"/>
          <w:vertAlign w:val="subscript"/>
        </w:rPr>
        <w:t>3</w:t>
      </w:r>
      <w:r w:rsidRPr="00C665B3">
        <w:rPr>
          <w:b/>
          <w:i/>
          <w:sz w:val="28"/>
          <w:szCs w:val="28"/>
        </w:rPr>
        <w:t xml:space="preserve"> </w:t>
      </w:r>
      <w:r>
        <w:rPr>
          <w:sz w:val="28"/>
          <w:szCs w:val="28"/>
        </w:rPr>
        <w:t>заменить коэффициентом</w:t>
      </w:r>
      <w:proofErr w:type="gramStart"/>
      <w:r>
        <w:rPr>
          <w:sz w:val="28"/>
          <w:szCs w:val="28"/>
        </w:rPr>
        <w:t xml:space="preserve"> </w:t>
      </w:r>
      <w:r w:rsidRPr="00C665B3">
        <w:rPr>
          <w:b/>
          <w:i/>
          <w:sz w:val="28"/>
          <w:szCs w:val="28"/>
        </w:rPr>
        <w:t>Е</w:t>
      </w:r>
      <w:proofErr w:type="gramEnd"/>
      <w:r>
        <w:rPr>
          <w:sz w:val="28"/>
          <w:szCs w:val="28"/>
        </w:rPr>
        <w:t>, то получим</w:t>
      </w:r>
    </w:p>
    <w:p w:rsidR="005179FE" w:rsidRPr="008932F2" w:rsidRDefault="005179FE" w:rsidP="005179FE">
      <w:pPr>
        <w:ind w:firstLine="708"/>
        <w:jc w:val="center"/>
        <w:rPr>
          <w:b/>
          <w:sz w:val="28"/>
          <w:szCs w:val="28"/>
        </w:rPr>
      </w:pPr>
      <w:r w:rsidRPr="009D24E7">
        <w:rPr>
          <w:b/>
          <w:position w:val="-24"/>
          <w:sz w:val="28"/>
          <w:szCs w:val="28"/>
        </w:rPr>
        <w:object w:dxaOrig="2480" w:dyaOrig="660">
          <v:shape id="_x0000_i1026" type="#_x0000_t75" style="width:154.75pt;height:40.85pt" o:ole="">
            <v:imagedata r:id="rId6" o:title=""/>
          </v:shape>
          <o:OLEObject Type="Embed" ProgID="Equation.3" ShapeID="_x0000_i1026" DrawAspect="Content" ObjectID="_1672871900" r:id="rId7"/>
        </w:object>
      </w:r>
    </w:p>
    <w:p w:rsidR="005179FE" w:rsidRDefault="005179FE" w:rsidP="005179F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отсюда находим </w:t>
      </w:r>
      <w:proofErr w:type="gramStart"/>
      <w:r w:rsidRPr="00C665B3">
        <w:rPr>
          <w:b/>
          <w:i/>
          <w:sz w:val="28"/>
          <w:szCs w:val="28"/>
          <w:lang w:val="en-US"/>
        </w:rPr>
        <w:t>N</w:t>
      </w:r>
      <w:proofErr w:type="gramEnd"/>
      <w:r w:rsidRPr="00C665B3">
        <w:rPr>
          <w:b/>
          <w:i/>
          <w:sz w:val="28"/>
          <w:szCs w:val="28"/>
          <w:vertAlign w:val="subscript"/>
        </w:rPr>
        <w:t>урожая</w:t>
      </w:r>
      <w:r>
        <w:rPr>
          <w:sz w:val="28"/>
          <w:szCs w:val="28"/>
        </w:rPr>
        <w:t xml:space="preserve"> из расчетных таблиц, затем определяем </w:t>
      </w:r>
      <w:r w:rsidRPr="00C665B3">
        <w:rPr>
          <w:b/>
          <w:i/>
          <w:sz w:val="28"/>
          <w:szCs w:val="28"/>
          <w:lang w:val="en-US"/>
        </w:rPr>
        <w:t>N</w:t>
      </w:r>
      <w:r w:rsidRPr="00C665B3">
        <w:rPr>
          <w:b/>
          <w:i/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и </w:t>
      </w:r>
      <w:r w:rsidRPr="00C665B3">
        <w:rPr>
          <w:b/>
          <w:i/>
          <w:sz w:val="28"/>
          <w:szCs w:val="28"/>
          <w:lang w:val="en-US"/>
        </w:rPr>
        <w:t>N</w:t>
      </w:r>
      <w:r w:rsidRPr="00C665B3">
        <w:rPr>
          <w:b/>
          <w:i/>
          <w:sz w:val="28"/>
          <w:szCs w:val="28"/>
          <w:vertAlign w:val="subscript"/>
        </w:rPr>
        <w:t xml:space="preserve">2 </w:t>
      </w:r>
      <w:r>
        <w:rPr>
          <w:sz w:val="28"/>
          <w:szCs w:val="28"/>
        </w:rPr>
        <w:t xml:space="preserve">и вычисляем </w:t>
      </w:r>
      <w:r w:rsidRPr="00C665B3">
        <w:rPr>
          <w:b/>
          <w:i/>
          <w:sz w:val="28"/>
          <w:szCs w:val="28"/>
          <w:lang w:val="en-US"/>
        </w:rPr>
        <w:t>N</w:t>
      </w:r>
      <w:r w:rsidRPr="00C665B3">
        <w:rPr>
          <w:b/>
          <w:i/>
          <w:sz w:val="28"/>
          <w:szCs w:val="28"/>
          <w:vertAlign w:val="subscript"/>
        </w:rPr>
        <w:t>3</w:t>
      </w:r>
      <w:r w:rsidRPr="00C665B3">
        <w:rPr>
          <w:b/>
          <w:i/>
          <w:sz w:val="28"/>
          <w:szCs w:val="28"/>
        </w:rPr>
        <w:t xml:space="preserve"> </w:t>
      </w:r>
      <w:r>
        <w:rPr>
          <w:sz w:val="28"/>
          <w:szCs w:val="28"/>
        </w:rPr>
        <w:t>– дозу минеральных удобрений.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Однако для подготовки прогноза обеспеченности растений элементами минерального питания результатов одних почвенных анализов недостаточно.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Более точные данные дает анализ растений, так как изменение питания в них по типам почв не превышает 5%.</w:t>
      </w:r>
    </w:p>
    <w:p w:rsidR="005179FE" w:rsidRPr="00706EF8" w:rsidRDefault="005179FE" w:rsidP="005179FE">
      <w:pPr>
        <w:jc w:val="both"/>
        <w:rPr>
          <w:sz w:val="16"/>
          <w:szCs w:val="16"/>
        </w:rPr>
      </w:pPr>
    </w:p>
    <w:p w:rsidR="005179FE" w:rsidRPr="008932F2" w:rsidRDefault="005179FE" w:rsidP="005179FE">
      <w:pPr>
        <w:ind w:firstLine="708"/>
        <w:jc w:val="both"/>
        <w:rPr>
          <w:b/>
          <w:sz w:val="28"/>
          <w:szCs w:val="28"/>
        </w:rPr>
      </w:pPr>
      <w:r w:rsidRPr="008932F2">
        <w:rPr>
          <w:b/>
          <w:sz w:val="28"/>
          <w:szCs w:val="28"/>
        </w:rPr>
        <w:t>Вопрос 2. Растительная диагностика</w:t>
      </w:r>
    </w:p>
    <w:p w:rsidR="005179FE" w:rsidRPr="00706EF8" w:rsidRDefault="005179FE" w:rsidP="005179FE">
      <w:pPr>
        <w:ind w:firstLine="708"/>
        <w:jc w:val="both"/>
        <w:rPr>
          <w:sz w:val="16"/>
          <w:szCs w:val="16"/>
        </w:rPr>
      </w:pP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Обеспеченность растений элементами питания необходимо контролировать по их химическому составу с учетом биологических возможностей и особенностей сортов, темпов роста и продолжительности различных периодов вегетации.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Растительная диагностика включает </w:t>
      </w:r>
      <w:proofErr w:type="gramStart"/>
      <w:r>
        <w:rPr>
          <w:sz w:val="28"/>
          <w:szCs w:val="28"/>
        </w:rPr>
        <w:t>визуальную</w:t>
      </w:r>
      <w:proofErr w:type="gramEnd"/>
      <w:r>
        <w:rPr>
          <w:sz w:val="28"/>
          <w:szCs w:val="28"/>
        </w:rPr>
        <w:t>, химическую (тканевую и листовую) и функциональную (или физиологическую).</w:t>
      </w:r>
    </w:p>
    <w:p w:rsidR="005179FE" w:rsidRPr="00706EF8" w:rsidRDefault="005179FE" w:rsidP="005179FE">
      <w:pPr>
        <w:ind w:firstLine="708"/>
        <w:jc w:val="both"/>
        <w:rPr>
          <w:sz w:val="16"/>
          <w:szCs w:val="16"/>
        </w:rPr>
      </w:pPr>
    </w:p>
    <w:p w:rsidR="005179FE" w:rsidRDefault="005179FE" w:rsidP="005179FE">
      <w:pPr>
        <w:ind w:firstLine="708"/>
        <w:jc w:val="center"/>
        <w:rPr>
          <w:b/>
          <w:sz w:val="28"/>
          <w:szCs w:val="28"/>
        </w:rPr>
      </w:pPr>
      <w:r w:rsidRPr="008932F2">
        <w:rPr>
          <w:b/>
          <w:sz w:val="28"/>
          <w:szCs w:val="28"/>
        </w:rPr>
        <w:t>Визуальная диагностика</w:t>
      </w:r>
    </w:p>
    <w:p w:rsidR="005179FE" w:rsidRPr="00706EF8" w:rsidRDefault="005179FE" w:rsidP="005179FE">
      <w:pPr>
        <w:ind w:firstLine="708"/>
        <w:jc w:val="center"/>
        <w:rPr>
          <w:b/>
          <w:sz w:val="16"/>
          <w:szCs w:val="16"/>
        </w:rPr>
      </w:pPr>
    </w:p>
    <w:p w:rsidR="005179FE" w:rsidRPr="008932F2" w:rsidRDefault="005179FE" w:rsidP="005179FE">
      <w:pPr>
        <w:ind w:firstLine="708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Для нормального роста и развития растений требуются определенные количества, и даже соотношения питательных элементов в среде их произрастания. </w:t>
      </w:r>
      <w:r w:rsidRPr="008932F2">
        <w:rPr>
          <w:sz w:val="28"/>
          <w:szCs w:val="28"/>
          <w:u w:val="single"/>
        </w:rPr>
        <w:t>Любые отклонения в содержании питательных элементов от оптимального уровня вызывают нарушения биохимических и физиологических процессов в растениях, вследствие чего меняется окраска листьев, появляются некротические пятна, может произойти потеря тургора.</w:t>
      </w:r>
    </w:p>
    <w:p w:rsidR="005179FE" w:rsidRPr="009D24E7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Изменения внешнего вида растений бывают настолько характерны, что могут служить признаком для определения различных нарушений минерального питания. 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Потребность различных с.-х. культур в питательных элементах </w:t>
      </w:r>
      <w:proofErr w:type="gramStart"/>
      <w:r>
        <w:rPr>
          <w:sz w:val="28"/>
          <w:szCs w:val="28"/>
        </w:rPr>
        <w:t>неодинаковы</w:t>
      </w:r>
      <w:proofErr w:type="gramEnd"/>
      <w:r>
        <w:rPr>
          <w:sz w:val="28"/>
          <w:szCs w:val="28"/>
        </w:rPr>
        <w:t>. Например, на одном и том же поле рожь не проявляет калийного голодания и дает хороший урожай, а картофель не может нормально развиваться и сильно снижает урожай.</w:t>
      </w:r>
    </w:p>
    <w:p w:rsidR="005179FE" w:rsidRPr="008932F2" w:rsidRDefault="005179FE" w:rsidP="005179FE">
      <w:pPr>
        <w:ind w:firstLine="708"/>
        <w:jc w:val="both"/>
        <w:rPr>
          <w:sz w:val="28"/>
          <w:szCs w:val="28"/>
          <w:u w:val="single"/>
        </w:rPr>
      </w:pPr>
      <w:r w:rsidRPr="008932F2">
        <w:rPr>
          <w:sz w:val="28"/>
          <w:szCs w:val="28"/>
          <w:u w:val="single"/>
        </w:rPr>
        <w:t>Растения, по внешнему виду которых легко определить недостаток или избыток какого-либо элемента минерального питания, называют растениями индикаторами.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932F2">
        <w:rPr>
          <w:b/>
          <w:i/>
          <w:sz w:val="28"/>
          <w:szCs w:val="28"/>
        </w:rPr>
        <w:t>При избытке азота</w:t>
      </w:r>
      <w:r>
        <w:rPr>
          <w:sz w:val="28"/>
          <w:szCs w:val="28"/>
        </w:rPr>
        <w:t xml:space="preserve"> растениями-индикаторами могут служить огурцы и кабачки, при недостатке – капуста, кукуруза, картофель, смородина, слива. Азотное голодание замедляет рост, вызывает </w:t>
      </w:r>
      <w:proofErr w:type="spellStart"/>
      <w:r>
        <w:rPr>
          <w:sz w:val="28"/>
          <w:szCs w:val="28"/>
        </w:rPr>
        <w:t>мелколиственность</w:t>
      </w:r>
      <w:proofErr w:type="spellEnd"/>
      <w:r>
        <w:rPr>
          <w:sz w:val="28"/>
          <w:szCs w:val="28"/>
        </w:rPr>
        <w:t xml:space="preserve"> и окрашивание старых листьев в бледно-зеленый, желто-зеленый и желтый цвет.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932F2">
        <w:rPr>
          <w:b/>
          <w:i/>
          <w:sz w:val="28"/>
          <w:szCs w:val="28"/>
        </w:rPr>
        <w:t>При недостатке фосфора</w:t>
      </w:r>
      <w:r>
        <w:rPr>
          <w:sz w:val="28"/>
          <w:szCs w:val="28"/>
        </w:rPr>
        <w:t xml:space="preserve"> растениями-индикаторами являются томаты, яблоня, крыжовник, брюква и турнепс. При этом ухудшается </w:t>
      </w:r>
      <w:proofErr w:type="gramStart"/>
      <w:r>
        <w:rPr>
          <w:sz w:val="28"/>
          <w:szCs w:val="28"/>
        </w:rPr>
        <w:t>рост</w:t>
      </w:r>
      <w:proofErr w:type="gramEnd"/>
      <w:r>
        <w:rPr>
          <w:sz w:val="28"/>
          <w:szCs w:val="28"/>
        </w:rPr>
        <w:t xml:space="preserve"> и появляются мелкие листья. Цвет листьев становится темно-зеленым и голубым, появляются бурые и фиолетовые пятна, на месте которых </w:t>
      </w:r>
      <w:proofErr w:type="gramStart"/>
      <w:r>
        <w:rPr>
          <w:sz w:val="28"/>
          <w:szCs w:val="28"/>
        </w:rPr>
        <w:t>в последствии</w:t>
      </w:r>
      <w:proofErr w:type="gramEnd"/>
      <w:r>
        <w:rPr>
          <w:sz w:val="28"/>
          <w:szCs w:val="28"/>
        </w:rPr>
        <w:t xml:space="preserve"> образуются некрозы. Фосфорное голодание чаще проявляется в холодную погоду сначала на старых листьях, потом на молодых.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932F2">
        <w:rPr>
          <w:b/>
          <w:i/>
          <w:sz w:val="28"/>
          <w:szCs w:val="28"/>
        </w:rPr>
        <w:t>При калийном голодании</w:t>
      </w:r>
      <w:r>
        <w:rPr>
          <w:sz w:val="28"/>
          <w:szCs w:val="28"/>
        </w:rPr>
        <w:t xml:space="preserve"> значительно замедляется рост растений, желтеют, буреют и отмирают края нижних листьев. Наиболее заметен недостаток калия на капусте, картофеле, крыжовнике, свекле, люцерне, фасоли, смородине и яблоне. В первую очередь страдают старые листья, которые становятся куполообразными, волнистыми, с краевым подпалом.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932F2">
        <w:rPr>
          <w:b/>
          <w:i/>
          <w:sz w:val="28"/>
          <w:szCs w:val="28"/>
        </w:rPr>
        <w:t>Недостаток кальция</w:t>
      </w:r>
      <w:r>
        <w:rPr>
          <w:sz w:val="28"/>
          <w:szCs w:val="28"/>
        </w:rPr>
        <w:t xml:space="preserve"> обнаруживается на побегах и корнях, цветках и плодах. Старые листья желтеют, отмирают, а у верхних белеет кончик, наблюдается гниль плодов.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932F2">
        <w:rPr>
          <w:b/>
          <w:i/>
          <w:sz w:val="28"/>
          <w:szCs w:val="28"/>
        </w:rPr>
        <w:t>Недостаток магния</w:t>
      </w:r>
      <w:r>
        <w:rPr>
          <w:sz w:val="28"/>
          <w:szCs w:val="28"/>
        </w:rPr>
        <w:t xml:space="preserve"> вызывает характерную светло-зеленую или желтоватую окраску </w:t>
      </w:r>
      <w:proofErr w:type="spellStart"/>
      <w:r>
        <w:rPr>
          <w:sz w:val="28"/>
          <w:szCs w:val="28"/>
        </w:rPr>
        <w:t>междужилковой</w:t>
      </w:r>
      <w:proofErr w:type="spellEnd"/>
      <w:r>
        <w:rPr>
          <w:sz w:val="28"/>
          <w:szCs w:val="28"/>
        </w:rPr>
        <w:t xml:space="preserve"> ткани, в то время как сами жилки остаются интенсивно зелеными. От недостатка магния в первую очередь страдают </w:t>
      </w:r>
      <w:proofErr w:type="gramStart"/>
      <w:r>
        <w:rPr>
          <w:sz w:val="28"/>
          <w:szCs w:val="28"/>
        </w:rPr>
        <w:t>капустные</w:t>
      </w:r>
      <w:proofErr w:type="gramEnd"/>
      <w:r>
        <w:rPr>
          <w:sz w:val="28"/>
          <w:szCs w:val="28"/>
        </w:rPr>
        <w:t>, картофель, яблоня, крыжовник, смородина, виноград. Дефицит магния вызывает у проса оранжевую окраску листьев, а у смородины и хлопчатника – пурпурно-красную.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932F2">
        <w:rPr>
          <w:b/>
          <w:i/>
          <w:sz w:val="28"/>
          <w:szCs w:val="28"/>
        </w:rPr>
        <w:t>Недостаток железа</w:t>
      </w:r>
      <w:r>
        <w:rPr>
          <w:sz w:val="28"/>
          <w:szCs w:val="28"/>
        </w:rPr>
        <w:t xml:space="preserve"> проявляется бледно-зеленой или желтой окраской </w:t>
      </w:r>
      <w:proofErr w:type="spellStart"/>
      <w:r>
        <w:rPr>
          <w:sz w:val="28"/>
          <w:szCs w:val="28"/>
        </w:rPr>
        <w:t>верхущечных</w:t>
      </w:r>
      <w:proofErr w:type="spellEnd"/>
      <w:r>
        <w:rPr>
          <w:sz w:val="28"/>
          <w:szCs w:val="28"/>
        </w:rPr>
        <w:t xml:space="preserve"> листьев плодовых деревьев с четкой сеткой зеленых жилок, но нижние листья остаются без изменений. Ослабляется рост растений.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- </w:t>
      </w:r>
      <w:r w:rsidRPr="008932F2">
        <w:rPr>
          <w:b/>
          <w:i/>
          <w:sz w:val="28"/>
          <w:szCs w:val="28"/>
        </w:rPr>
        <w:t>Недостаток бора</w:t>
      </w:r>
      <w:r>
        <w:rPr>
          <w:sz w:val="28"/>
          <w:szCs w:val="28"/>
        </w:rPr>
        <w:t xml:space="preserve"> боле всего заметен на брюкве, турнепсе, корнеплодах, подсолнечнике, капусте, бобовых, плодово-ягодных, томатах, сельдерее, льне, ржи.</w:t>
      </w:r>
      <w:proofErr w:type="gramEnd"/>
      <w:r>
        <w:rPr>
          <w:sz w:val="28"/>
          <w:szCs w:val="28"/>
        </w:rPr>
        <w:t xml:space="preserve"> Характерными признаками борного голодания являются хлороз и отмирание верхушечной точки роста, в результате чего растения приобретают </w:t>
      </w:r>
      <w:proofErr w:type="spellStart"/>
      <w:r>
        <w:rPr>
          <w:sz w:val="28"/>
          <w:szCs w:val="28"/>
        </w:rPr>
        <w:t>кустовидную</w:t>
      </w:r>
      <w:proofErr w:type="spellEnd"/>
      <w:r>
        <w:rPr>
          <w:sz w:val="28"/>
          <w:szCs w:val="28"/>
        </w:rPr>
        <w:t xml:space="preserve"> форму. Корнеплоды поражаются сухой гнилью и дуплистостью, лен – бактериозом, цветная капуста – коричневой гнилью, бобовые культуры желтеют, у подсолнечника отмирает точка роста.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932F2">
        <w:rPr>
          <w:b/>
          <w:i/>
          <w:sz w:val="28"/>
          <w:szCs w:val="28"/>
        </w:rPr>
        <w:t>Недостаток марганца</w:t>
      </w:r>
      <w:r>
        <w:rPr>
          <w:sz w:val="28"/>
          <w:szCs w:val="28"/>
        </w:rPr>
        <w:t xml:space="preserve"> характеризуется ярко выраженным хлорозом листьев, но сами жилки остаются зелеными. Признаки марганцового </w:t>
      </w:r>
      <w:proofErr w:type="gramStart"/>
      <w:r>
        <w:rPr>
          <w:sz w:val="28"/>
          <w:szCs w:val="28"/>
        </w:rPr>
        <w:t>голодания</w:t>
      </w:r>
      <w:proofErr w:type="gramEnd"/>
      <w:r>
        <w:rPr>
          <w:sz w:val="28"/>
          <w:szCs w:val="28"/>
        </w:rPr>
        <w:t xml:space="preserve"> прежде всего появляются на молодых листьях. </w:t>
      </w:r>
      <w:proofErr w:type="gramStart"/>
      <w:r>
        <w:rPr>
          <w:sz w:val="28"/>
          <w:szCs w:val="28"/>
        </w:rPr>
        <w:t>Наиболее чувствительны к дефициту марганца – овес, пшеница, картофель, корнеплоды, кукуруза, капуста, бобовые, подсолнечник, плодово-ягодные, цитрусовые и целый ряд овощных культур.</w:t>
      </w:r>
      <w:proofErr w:type="gramEnd"/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932F2">
        <w:rPr>
          <w:b/>
          <w:i/>
          <w:sz w:val="28"/>
          <w:szCs w:val="28"/>
        </w:rPr>
        <w:t>Недостаток меди</w:t>
      </w:r>
      <w:r>
        <w:rPr>
          <w:sz w:val="28"/>
          <w:szCs w:val="28"/>
        </w:rPr>
        <w:t xml:space="preserve"> в большей степени отражается на клевере, овсе бобовых, злаковых, корнеплодах, кормовых и овощных культурах. Дефицит этого элемента обусловливает замедление роста, хлороз, потерю тургора и увядание, задержку цветения и гибель растений.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 злаковых недостаток меди вызывает усиление кущения и бледно-зеленую окраску, а при сильном дефиците меди – </w:t>
      </w:r>
      <w:proofErr w:type="spellStart"/>
      <w:r>
        <w:rPr>
          <w:sz w:val="28"/>
          <w:szCs w:val="28"/>
        </w:rPr>
        <w:t>побеление</w:t>
      </w:r>
      <w:proofErr w:type="spellEnd"/>
      <w:r>
        <w:rPr>
          <w:sz w:val="28"/>
          <w:szCs w:val="28"/>
        </w:rPr>
        <w:t xml:space="preserve"> кончиков листьев («белая чума» или «болезнь обработки»), колос не развивается. У </w:t>
      </w:r>
      <w:proofErr w:type="gramStart"/>
      <w:r>
        <w:rPr>
          <w:sz w:val="28"/>
          <w:szCs w:val="28"/>
        </w:rPr>
        <w:t>плодовых</w:t>
      </w:r>
      <w:proofErr w:type="gramEnd"/>
      <w:r>
        <w:rPr>
          <w:sz w:val="28"/>
          <w:szCs w:val="28"/>
        </w:rPr>
        <w:t xml:space="preserve"> при отсутствии меди развивается </w:t>
      </w:r>
      <w:proofErr w:type="spellStart"/>
      <w:r>
        <w:rPr>
          <w:sz w:val="28"/>
          <w:szCs w:val="28"/>
        </w:rPr>
        <w:t>суховершинность</w:t>
      </w:r>
      <w:proofErr w:type="spellEnd"/>
      <w:r>
        <w:rPr>
          <w:sz w:val="28"/>
          <w:szCs w:val="28"/>
        </w:rPr>
        <w:t>.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932F2">
        <w:rPr>
          <w:b/>
          <w:i/>
          <w:sz w:val="28"/>
          <w:szCs w:val="28"/>
        </w:rPr>
        <w:t>Признаки недостатка молибдена</w:t>
      </w:r>
      <w:r>
        <w:rPr>
          <w:sz w:val="28"/>
          <w:szCs w:val="28"/>
        </w:rPr>
        <w:t xml:space="preserve"> у бобовых растений очень схожи с признаками азотного голодания. При сильном дефиците молибдена резко тормозится рост растений, они имеют бледно-зеленую окраску, происходит деформация и отмирание листьев. </w:t>
      </w:r>
      <w:proofErr w:type="gramStart"/>
      <w:r>
        <w:rPr>
          <w:sz w:val="28"/>
          <w:szCs w:val="28"/>
        </w:rPr>
        <w:t>У</w:t>
      </w:r>
      <w:proofErr w:type="gramEnd"/>
      <w:r>
        <w:rPr>
          <w:sz w:val="28"/>
          <w:szCs w:val="28"/>
        </w:rPr>
        <w:t xml:space="preserve"> бобовых плохо развиваются или вообще не образуется на корнях клубеньки. Недостаток этого элемента особенно ярко проявляется на капусте, томатах, бобовых, цитрусовых и зеленых культурах.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- </w:t>
      </w:r>
      <w:r w:rsidRPr="008932F2">
        <w:rPr>
          <w:b/>
          <w:i/>
          <w:sz w:val="28"/>
          <w:szCs w:val="28"/>
        </w:rPr>
        <w:t>К недостатку цинка</w:t>
      </w:r>
      <w:r>
        <w:rPr>
          <w:sz w:val="28"/>
          <w:szCs w:val="28"/>
        </w:rPr>
        <w:t xml:space="preserve"> очень чувствительны плодовые культуры, кукуруза, соя, фасоль, гречиха, корнеплоды, хмель, картофель, клевер.</w:t>
      </w:r>
      <w:proofErr w:type="gramEnd"/>
      <w:r>
        <w:rPr>
          <w:sz w:val="28"/>
          <w:szCs w:val="28"/>
        </w:rPr>
        <w:t xml:space="preserve"> Дефицит этого элемента вызывает </w:t>
      </w:r>
      <w:proofErr w:type="spellStart"/>
      <w:r>
        <w:rPr>
          <w:sz w:val="28"/>
          <w:szCs w:val="28"/>
        </w:rPr>
        <w:t>мелколиственность</w:t>
      </w:r>
      <w:proofErr w:type="spellEnd"/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розеточность</w:t>
      </w:r>
      <w:proofErr w:type="spellEnd"/>
      <w:r>
        <w:rPr>
          <w:sz w:val="28"/>
          <w:szCs w:val="28"/>
        </w:rPr>
        <w:t xml:space="preserve"> у яблони, персика, айвы, вишни.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визуальной диагностике оценивают высоту и массу растений, их соответствие фазе развития, окраску листьев по ярусам и внутри ярусов, длину междоузлий, упругость стебля, </w:t>
      </w:r>
      <w:proofErr w:type="spellStart"/>
      <w:r>
        <w:rPr>
          <w:sz w:val="28"/>
          <w:szCs w:val="28"/>
        </w:rPr>
        <w:t>выполненность</w:t>
      </w:r>
      <w:proofErr w:type="spellEnd"/>
      <w:r>
        <w:rPr>
          <w:sz w:val="28"/>
          <w:szCs w:val="28"/>
        </w:rPr>
        <w:t xml:space="preserve"> побега и др. По результатам оценки составляют заключение, указывающее на отклонение от нормы, и разрабатывают рекомендации по изменению технологии выращивания культур. Однако исправить несбалансированное питание можно лишь частично, поскольку появление внешних признаков недостатка какого-то элемента питания говорит о том, что в метаболизме растений произошли достаточно глубокие изменения, последствия которых уже изменить невозможно. 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целях своевременного обнаружения недостатка элементов минерального питания применяют методы химической диагностики, инъекции или опрыскивания.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ликвидации недостатка элемента питания применяют 0,5%-ные растворы солей калия и кальция, 0,1%-ный растворы мочевины, </w:t>
      </w:r>
      <w:proofErr w:type="spellStart"/>
      <w:r>
        <w:rPr>
          <w:sz w:val="28"/>
          <w:szCs w:val="28"/>
        </w:rPr>
        <w:t>монофосфата</w:t>
      </w:r>
      <w:proofErr w:type="spellEnd"/>
      <w:r>
        <w:rPr>
          <w:sz w:val="28"/>
          <w:szCs w:val="28"/>
        </w:rPr>
        <w:t xml:space="preserve"> натрия, сернокислого магния, 0,02-0,01-ные растворы солей микроэлементов.</w:t>
      </w:r>
    </w:p>
    <w:p w:rsidR="005179FE" w:rsidRPr="00706EF8" w:rsidRDefault="005179FE" w:rsidP="005179FE">
      <w:pPr>
        <w:ind w:firstLine="708"/>
        <w:jc w:val="both"/>
        <w:rPr>
          <w:sz w:val="16"/>
          <w:szCs w:val="16"/>
        </w:rPr>
      </w:pPr>
    </w:p>
    <w:p w:rsidR="005179FE" w:rsidRPr="008932F2" w:rsidRDefault="005179FE" w:rsidP="005179FE">
      <w:pPr>
        <w:ind w:firstLine="708"/>
        <w:jc w:val="both"/>
        <w:rPr>
          <w:sz w:val="28"/>
          <w:szCs w:val="28"/>
          <w:u w:val="single"/>
        </w:rPr>
      </w:pPr>
      <w:r w:rsidRPr="008932F2">
        <w:rPr>
          <w:sz w:val="28"/>
          <w:szCs w:val="28"/>
          <w:u w:val="single"/>
        </w:rPr>
        <w:t xml:space="preserve">Химическая диагностика – делится на два вида: </w:t>
      </w:r>
      <w:proofErr w:type="gramStart"/>
      <w:r w:rsidRPr="008932F2">
        <w:rPr>
          <w:sz w:val="28"/>
          <w:szCs w:val="28"/>
          <w:u w:val="single"/>
        </w:rPr>
        <w:t>тканевую</w:t>
      </w:r>
      <w:proofErr w:type="gramEnd"/>
      <w:r w:rsidRPr="008932F2">
        <w:rPr>
          <w:sz w:val="28"/>
          <w:szCs w:val="28"/>
          <w:u w:val="single"/>
        </w:rPr>
        <w:t xml:space="preserve"> и листовую.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 w:rsidRPr="008932F2">
        <w:rPr>
          <w:b/>
          <w:sz w:val="28"/>
          <w:szCs w:val="28"/>
        </w:rPr>
        <w:t>1. Тканевая диагностика</w:t>
      </w:r>
      <w:r>
        <w:rPr>
          <w:sz w:val="28"/>
          <w:szCs w:val="28"/>
        </w:rPr>
        <w:t xml:space="preserve"> </w:t>
      </w:r>
      <w:r w:rsidRPr="008932F2">
        <w:rPr>
          <w:sz w:val="28"/>
          <w:szCs w:val="28"/>
          <w:u w:val="single"/>
        </w:rPr>
        <w:t>предусматривает определение содержания неорганических соединений (нитратов, фосфатов, калия, магния и др.) в тканях или в вытяжке из растений.</w:t>
      </w:r>
      <w:r>
        <w:rPr>
          <w:sz w:val="28"/>
          <w:szCs w:val="28"/>
        </w:rPr>
        <w:t xml:space="preserve"> Она обеспечивает быстрый контроль питания растений и осуществляется с помощью полевых портативных приборов: </w:t>
      </w:r>
      <w:r w:rsidRPr="008932F2">
        <w:rPr>
          <w:sz w:val="28"/>
          <w:szCs w:val="28"/>
          <w:u w:val="single"/>
        </w:rPr>
        <w:t>переносной лаборатории «Тканевая диагностика»,</w:t>
      </w:r>
      <w:r>
        <w:rPr>
          <w:sz w:val="28"/>
          <w:szCs w:val="28"/>
        </w:rPr>
        <w:t xml:space="preserve"> которая предназначена для определения в тканях содержание элементов минерального питания в полевых и лабораторных условиях.</w:t>
      </w:r>
    </w:p>
    <w:p w:rsidR="005179FE" w:rsidRPr="00E05B2F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Концентрация </w:t>
      </w:r>
      <w:proofErr w:type="gramStart"/>
      <w:r>
        <w:rPr>
          <w:sz w:val="28"/>
          <w:szCs w:val="28"/>
          <w:lang w:val="en-US"/>
        </w:rPr>
        <w:t>N</w:t>
      </w:r>
      <w:proofErr w:type="gramEnd"/>
      <w:r>
        <w:rPr>
          <w:sz w:val="28"/>
          <w:szCs w:val="28"/>
        </w:rPr>
        <w:t xml:space="preserve">РК в тканях растений по интенсивности цветных растений можно установить также с помощью переносной экспресс лабораторий, полевой сумки К.П. Магницкого. 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Для диагностики азотного питания озимых зерновых культур применяют индикаторную бумагу «</w:t>
      </w:r>
      <w:proofErr w:type="spellStart"/>
      <w:r>
        <w:rPr>
          <w:sz w:val="28"/>
          <w:szCs w:val="28"/>
        </w:rPr>
        <w:t>Индам</w:t>
      </w:r>
      <w:proofErr w:type="spellEnd"/>
      <w:r>
        <w:rPr>
          <w:sz w:val="28"/>
          <w:szCs w:val="28"/>
        </w:rPr>
        <w:t>». Диагностику проводят в фазу кущения, выхода в трубку, колошения и цветения. Анализируют определенную часть стебля: в фазу кущения – узел кущения, выхода в трубку – второй стеблевой узел, колошения и цветения – последний перед колосом стеблевой узел (таблица 2).</w:t>
      </w:r>
    </w:p>
    <w:p w:rsidR="005179FE" w:rsidRDefault="005179FE" w:rsidP="005179FE">
      <w:pPr>
        <w:ind w:firstLine="708"/>
        <w:jc w:val="right"/>
        <w:rPr>
          <w:sz w:val="28"/>
          <w:szCs w:val="28"/>
        </w:rPr>
      </w:pPr>
    </w:p>
    <w:p w:rsidR="005179FE" w:rsidRDefault="005179FE" w:rsidP="005179FE">
      <w:pPr>
        <w:ind w:firstLine="708"/>
        <w:jc w:val="right"/>
        <w:rPr>
          <w:sz w:val="28"/>
          <w:szCs w:val="28"/>
        </w:rPr>
      </w:pPr>
    </w:p>
    <w:p w:rsidR="005179FE" w:rsidRDefault="005179FE" w:rsidP="005179FE">
      <w:pPr>
        <w:ind w:firstLine="708"/>
        <w:jc w:val="right"/>
        <w:rPr>
          <w:sz w:val="28"/>
          <w:szCs w:val="28"/>
        </w:rPr>
      </w:pPr>
    </w:p>
    <w:p w:rsidR="005179FE" w:rsidRDefault="005179FE" w:rsidP="005179FE">
      <w:pPr>
        <w:ind w:firstLine="708"/>
        <w:jc w:val="right"/>
        <w:rPr>
          <w:sz w:val="28"/>
          <w:szCs w:val="28"/>
        </w:rPr>
      </w:pPr>
    </w:p>
    <w:p w:rsidR="005179FE" w:rsidRDefault="005179FE" w:rsidP="005179FE">
      <w:pPr>
        <w:ind w:firstLine="708"/>
        <w:jc w:val="right"/>
        <w:rPr>
          <w:sz w:val="28"/>
          <w:szCs w:val="28"/>
        </w:rPr>
      </w:pPr>
    </w:p>
    <w:p w:rsidR="005179FE" w:rsidRDefault="005179FE" w:rsidP="005179FE">
      <w:pPr>
        <w:ind w:firstLine="708"/>
        <w:jc w:val="right"/>
        <w:rPr>
          <w:sz w:val="28"/>
          <w:szCs w:val="28"/>
        </w:rPr>
      </w:pPr>
    </w:p>
    <w:p w:rsidR="005179FE" w:rsidRDefault="005179FE" w:rsidP="005179FE">
      <w:pPr>
        <w:ind w:firstLine="708"/>
        <w:jc w:val="right"/>
        <w:rPr>
          <w:sz w:val="28"/>
          <w:szCs w:val="28"/>
        </w:rPr>
      </w:pPr>
    </w:p>
    <w:p w:rsidR="005179FE" w:rsidRDefault="005179FE" w:rsidP="005179FE">
      <w:pPr>
        <w:ind w:firstLine="708"/>
        <w:jc w:val="right"/>
        <w:rPr>
          <w:sz w:val="28"/>
          <w:szCs w:val="28"/>
        </w:rPr>
      </w:pPr>
    </w:p>
    <w:p w:rsidR="005179FE" w:rsidRDefault="005179FE" w:rsidP="005179FE">
      <w:pPr>
        <w:ind w:firstLine="708"/>
        <w:jc w:val="right"/>
        <w:rPr>
          <w:sz w:val="28"/>
          <w:szCs w:val="28"/>
        </w:rPr>
      </w:pPr>
    </w:p>
    <w:p w:rsidR="005179FE" w:rsidRDefault="005179FE" w:rsidP="005179FE">
      <w:pPr>
        <w:ind w:firstLine="708"/>
        <w:jc w:val="right"/>
        <w:rPr>
          <w:sz w:val="28"/>
          <w:szCs w:val="28"/>
        </w:rPr>
      </w:pPr>
    </w:p>
    <w:p w:rsidR="005179FE" w:rsidRPr="00706EF8" w:rsidRDefault="005179FE" w:rsidP="005179FE">
      <w:pPr>
        <w:ind w:firstLine="708"/>
        <w:rPr>
          <w:b/>
          <w:sz w:val="28"/>
          <w:szCs w:val="28"/>
        </w:rPr>
      </w:pPr>
      <w:r w:rsidRPr="00706EF8">
        <w:rPr>
          <w:b/>
          <w:sz w:val="28"/>
          <w:szCs w:val="28"/>
        </w:rPr>
        <w:t>Таблица 2</w:t>
      </w:r>
    </w:p>
    <w:p w:rsidR="005179FE" w:rsidRPr="00706EF8" w:rsidRDefault="005179FE" w:rsidP="005179FE">
      <w:pPr>
        <w:ind w:firstLine="708"/>
        <w:jc w:val="center"/>
        <w:rPr>
          <w:b/>
          <w:sz w:val="28"/>
          <w:szCs w:val="28"/>
        </w:rPr>
      </w:pPr>
      <w:r w:rsidRPr="00706EF8">
        <w:rPr>
          <w:b/>
          <w:sz w:val="28"/>
          <w:szCs w:val="28"/>
        </w:rPr>
        <w:t>Оценочная шкала, уровень обеспеченности и дозы азота</w:t>
      </w:r>
    </w:p>
    <w:p w:rsidR="005179FE" w:rsidRPr="0014269C" w:rsidRDefault="005179FE" w:rsidP="005179FE">
      <w:pPr>
        <w:ind w:firstLine="708"/>
        <w:jc w:val="center"/>
        <w:rPr>
          <w:sz w:val="16"/>
          <w:szCs w:val="16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790"/>
        <w:gridCol w:w="458"/>
        <w:gridCol w:w="1260"/>
        <w:gridCol w:w="1585"/>
        <w:gridCol w:w="1162"/>
        <w:gridCol w:w="1393"/>
      </w:tblGrid>
      <w:tr w:rsidR="005179FE" w:rsidRPr="007C6859" w:rsidTr="0096458E">
        <w:tc>
          <w:tcPr>
            <w:tcW w:w="3790" w:type="dxa"/>
            <w:vMerge w:val="restart"/>
            <w:shd w:val="clear" w:color="auto" w:fill="auto"/>
            <w:vAlign w:val="center"/>
          </w:tcPr>
          <w:p w:rsidR="005179FE" w:rsidRPr="007C6859" w:rsidRDefault="005179FE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Окраска индикатора</w:t>
            </w:r>
          </w:p>
        </w:tc>
        <w:tc>
          <w:tcPr>
            <w:tcW w:w="458" w:type="dxa"/>
            <w:vMerge w:val="restart"/>
            <w:shd w:val="clear" w:color="auto" w:fill="auto"/>
            <w:textDirection w:val="btLr"/>
            <w:vAlign w:val="center"/>
          </w:tcPr>
          <w:p w:rsidR="005179FE" w:rsidRPr="007C6859" w:rsidRDefault="005179FE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Балл</w:t>
            </w:r>
          </w:p>
        </w:tc>
        <w:tc>
          <w:tcPr>
            <w:tcW w:w="1260" w:type="dxa"/>
            <w:vMerge w:val="restart"/>
            <w:shd w:val="clear" w:color="auto" w:fill="auto"/>
            <w:vAlign w:val="center"/>
          </w:tcPr>
          <w:p w:rsidR="005179FE" w:rsidRPr="007C6859" w:rsidRDefault="005179FE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 xml:space="preserve">Уровень </w:t>
            </w:r>
            <w:proofErr w:type="spellStart"/>
            <w:proofErr w:type="gramStart"/>
            <w:r w:rsidRPr="007C6859">
              <w:rPr>
                <w:sz w:val="26"/>
                <w:szCs w:val="26"/>
              </w:rPr>
              <w:t>обеспе-ченности</w:t>
            </w:r>
            <w:proofErr w:type="spellEnd"/>
            <w:proofErr w:type="gramEnd"/>
            <w:r w:rsidRPr="007C6859">
              <w:rPr>
                <w:sz w:val="26"/>
                <w:szCs w:val="26"/>
              </w:rPr>
              <w:t xml:space="preserve"> азотом</w:t>
            </w:r>
          </w:p>
        </w:tc>
        <w:tc>
          <w:tcPr>
            <w:tcW w:w="1585" w:type="dxa"/>
            <w:vMerge w:val="restart"/>
            <w:shd w:val="clear" w:color="auto" w:fill="auto"/>
            <w:vAlign w:val="center"/>
          </w:tcPr>
          <w:p w:rsidR="005179FE" w:rsidRPr="007C6859" w:rsidRDefault="005179FE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Средний балл</w:t>
            </w:r>
          </w:p>
        </w:tc>
        <w:tc>
          <w:tcPr>
            <w:tcW w:w="2555" w:type="dxa"/>
            <w:gridSpan w:val="2"/>
            <w:shd w:val="clear" w:color="auto" w:fill="auto"/>
            <w:vAlign w:val="center"/>
          </w:tcPr>
          <w:p w:rsidR="005179FE" w:rsidRPr="007C6859" w:rsidRDefault="005179FE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 xml:space="preserve">Дозы </w:t>
            </w:r>
            <w:r w:rsidRPr="007C6859">
              <w:rPr>
                <w:sz w:val="26"/>
                <w:szCs w:val="26"/>
                <w:lang w:val="en-US"/>
              </w:rPr>
              <w:t>N</w:t>
            </w:r>
            <w:r w:rsidRPr="007C6859">
              <w:rPr>
                <w:sz w:val="26"/>
                <w:szCs w:val="26"/>
              </w:rPr>
              <w:t>, кг/га д.</w:t>
            </w:r>
            <w:proofErr w:type="gramStart"/>
            <w:r w:rsidRPr="007C6859">
              <w:rPr>
                <w:sz w:val="26"/>
                <w:szCs w:val="26"/>
              </w:rPr>
              <w:t>в</w:t>
            </w:r>
            <w:proofErr w:type="gramEnd"/>
            <w:r w:rsidRPr="007C6859">
              <w:rPr>
                <w:sz w:val="26"/>
                <w:szCs w:val="26"/>
              </w:rPr>
              <w:t>.</w:t>
            </w:r>
          </w:p>
        </w:tc>
      </w:tr>
      <w:tr w:rsidR="005179FE" w:rsidRPr="007C6859" w:rsidTr="0096458E">
        <w:trPr>
          <w:cantSplit/>
          <w:trHeight w:val="1755"/>
        </w:trPr>
        <w:tc>
          <w:tcPr>
            <w:tcW w:w="3790" w:type="dxa"/>
            <w:vMerge/>
            <w:shd w:val="clear" w:color="auto" w:fill="auto"/>
            <w:vAlign w:val="center"/>
          </w:tcPr>
          <w:p w:rsidR="005179FE" w:rsidRPr="007C6859" w:rsidRDefault="005179FE" w:rsidP="0096458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58" w:type="dxa"/>
            <w:vMerge/>
            <w:shd w:val="clear" w:color="auto" w:fill="auto"/>
            <w:vAlign w:val="center"/>
          </w:tcPr>
          <w:p w:rsidR="005179FE" w:rsidRPr="007C6859" w:rsidRDefault="005179FE" w:rsidP="0096458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60" w:type="dxa"/>
            <w:vMerge/>
            <w:shd w:val="clear" w:color="auto" w:fill="auto"/>
            <w:vAlign w:val="center"/>
          </w:tcPr>
          <w:p w:rsidR="005179FE" w:rsidRPr="007C6859" w:rsidRDefault="005179FE" w:rsidP="0096458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85" w:type="dxa"/>
            <w:vMerge/>
            <w:shd w:val="clear" w:color="auto" w:fill="auto"/>
            <w:vAlign w:val="center"/>
          </w:tcPr>
          <w:p w:rsidR="005179FE" w:rsidRPr="007C6859" w:rsidRDefault="005179FE" w:rsidP="0096458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62" w:type="dxa"/>
            <w:shd w:val="clear" w:color="auto" w:fill="auto"/>
            <w:textDirection w:val="btLr"/>
            <w:vAlign w:val="center"/>
          </w:tcPr>
          <w:p w:rsidR="005179FE" w:rsidRPr="007C6859" w:rsidRDefault="005179FE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 xml:space="preserve">фаза кущения - </w:t>
            </w:r>
            <w:proofErr w:type="spellStart"/>
            <w:r w:rsidRPr="007C6859">
              <w:rPr>
                <w:sz w:val="26"/>
                <w:szCs w:val="26"/>
              </w:rPr>
              <w:t>трубкования</w:t>
            </w:r>
            <w:proofErr w:type="spellEnd"/>
          </w:p>
        </w:tc>
        <w:tc>
          <w:tcPr>
            <w:tcW w:w="1393" w:type="dxa"/>
            <w:shd w:val="clear" w:color="auto" w:fill="auto"/>
            <w:textDirection w:val="btLr"/>
            <w:vAlign w:val="center"/>
          </w:tcPr>
          <w:p w:rsidR="005179FE" w:rsidRPr="007C6859" w:rsidRDefault="005179FE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фаза колошения - цветения</w:t>
            </w:r>
          </w:p>
        </w:tc>
      </w:tr>
      <w:tr w:rsidR="005179FE" w:rsidRPr="007C6859" w:rsidTr="0096458E">
        <w:trPr>
          <w:trHeight w:val="1448"/>
        </w:trPr>
        <w:tc>
          <w:tcPr>
            <w:tcW w:w="3790" w:type="dxa"/>
            <w:shd w:val="clear" w:color="auto" w:fill="auto"/>
            <w:vAlign w:val="center"/>
          </w:tcPr>
          <w:p w:rsidR="005179FE" w:rsidRPr="007C6859" w:rsidRDefault="005179FE" w:rsidP="0096458E">
            <w:pPr>
              <w:jc w:val="both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Белая, бело-розовая</w:t>
            </w:r>
          </w:p>
          <w:p w:rsidR="005179FE" w:rsidRPr="007C6859" w:rsidRDefault="005179FE" w:rsidP="0096458E">
            <w:pPr>
              <w:jc w:val="both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Розовая</w:t>
            </w:r>
          </w:p>
          <w:p w:rsidR="005179FE" w:rsidRPr="007C6859" w:rsidRDefault="005179FE" w:rsidP="0096458E">
            <w:pPr>
              <w:jc w:val="both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Розовая интенсивная малиновая</w:t>
            </w:r>
          </w:p>
        </w:tc>
        <w:tc>
          <w:tcPr>
            <w:tcW w:w="458" w:type="dxa"/>
            <w:shd w:val="clear" w:color="auto" w:fill="auto"/>
            <w:vAlign w:val="center"/>
          </w:tcPr>
          <w:p w:rsidR="005179FE" w:rsidRPr="007C6859" w:rsidRDefault="005179FE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1</w:t>
            </w:r>
          </w:p>
          <w:p w:rsidR="005179FE" w:rsidRPr="007C6859" w:rsidRDefault="005179FE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2</w:t>
            </w:r>
          </w:p>
          <w:p w:rsidR="005179FE" w:rsidRPr="007C6859" w:rsidRDefault="005179FE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3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5179FE" w:rsidRPr="007C6859" w:rsidRDefault="005179FE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Низкий</w:t>
            </w:r>
          </w:p>
          <w:p w:rsidR="005179FE" w:rsidRPr="007C6859" w:rsidRDefault="005179FE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Средний</w:t>
            </w:r>
          </w:p>
          <w:p w:rsidR="005179FE" w:rsidRPr="007C6859" w:rsidRDefault="005179FE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Высокий</w:t>
            </w:r>
          </w:p>
        </w:tc>
        <w:tc>
          <w:tcPr>
            <w:tcW w:w="1585" w:type="dxa"/>
            <w:shd w:val="clear" w:color="auto" w:fill="auto"/>
            <w:vAlign w:val="center"/>
          </w:tcPr>
          <w:p w:rsidR="005179FE" w:rsidRPr="007C6859" w:rsidRDefault="005179FE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до 1,8</w:t>
            </w:r>
          </w:p>
          <w:p w:rsidR="005179FE" w:rsidRPr="007C6859" w:rsidRDefault="005179FE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1,9-2,5</w:t>
            </w:r>
          </w:p>
          <w:p w:rsidR="005179FE" w:rsidRPr="007C6859" w:rsidRDefault="005179FE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2,6 и более</w:t>
            </w:r>
          </w:p>
        </w:tc>
        <w:tc>
          <w:tcPr>
            <w:tcW w:w="1162" w:type="dxa"/>
            <w:shd w:val="clear" w:color="auto" w:fill="auto"/>
            <w:vAlign w:val="center"/>
          </w:tcPr>
          <w:p w:rsidR="005179FE" w:rsidRPr="007C6859" w:rsidRDefault="005179FE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60-80</w:t>
            </w:r>
          </w:p>
          <w:p w:rsidR="005179FE" w:rsidRPr="007C6859" w:rsidRDefault="005179FE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30-40</w:t>
            </w:r>
          </w:p>
          <w:p w:rsidR="005179FE" w:rsidRPr="007C6859" w:rsidRDefault="005179FE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-</w:t>
            </w:r>
          </w:p>
        </w:tc>
        <w:tc>
          <w:tcPr>
            <w:tcW w:w="1393" w:type="dxa"/>
            <w:shd w:val="clear" w:color="auto" w:fill="auto"/>
            <w:vAlign w:val="center"/>
          </w:tcPr>
          <w:p w:rsidR="005179FE" w:rsidRPr="007C6859" w:rsidRDefault="005179FE" w:rsidP="0096458E">
            <w:pPr>
              <w:jc w:val="center"/>
              <w:rPr>
                <w:sz w:val="26"/>
                <w:szCs w:val="26"/>
              </w:rPr>
            </w:pPr>
            <w:proofErr w:type="spellStart"/>
            <w:r w:rsidRPr="007C6859">
              <w:rPr>
                <w:sz w:val="26"/>
                <w:szCs w:val="26"/>
              </w:rPr>
              <w:t>неэффект</w:t>
            </w:r>
            <w:proofErr w:type="spellEnd"/>
            <w:r w:rsidRPr="007C6859">
              <w:rPr>
                <w:sz w:val="26"/>
                <w:szCs w:val="26"/>
              </w:rPr>
              <w:t>.</w:t>
            </w:r>
          </w:p>
          <w:p w:rsidR="005179FE" w:rsidRPr="007C6859" w:rsidRDefault="005179FE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40-50</w:t>
            </w:r>
          </w:p>
          <w:p w:rsidR="005179FE" w:rsidRPr="007C6859" w:rsidRDefault="005179FE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0-30</w:t>
            </w:r>
          </w:p>
        </w:tc>
      </w:tr>
    </w:tbl>
    <w:p w:rsidR="005179FE" w:rsidRDefault="005179FE" w:rsidP="005179FE">
      <w:pPr>
        <w:jc w:val="both"/>
        <w:rPr>
          <w:sz w:val="28"/>
          <w:szCs w:val="28"/>
        </w:rPr>
      </w:pP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Следует иметь в виду, что метод определения обеспеченности растений элементами питания на срезах тканей наименее точен, чем в вытяжке из растений или в листьях.</w:t>
      </w:r>
    </w:p>
    <w:p w:rsidR="005179FE" w:rsidRPr="008932F2" w:rsidRDefault="005179FE" w:rsidP="005179FE">
      <w:pPr>
        <w:ind w:firstLine="708"/>
        <w:jc w:val="both"/>
        <w:rPr>
          <w:sz w:val="28"/>
          <w:szCs w:val="28"/>
          <w:u w:val="single"/>
        </w:rPr>
      </w:pPr>
      <w:r w:rsidRPr="008932F2">
        <w:rPr>
          <w:b/>
          <w:sz w:val="28"/>
          <w:szCs w:val="28"/>
        </w:rPr>
        <w:t>2. Листовая диагностика</w:t>
      </w:r>
      <w:r>
        <w:rPr>
          <w:sz w:val="28"/>
          <w:szCs w:val="28"/>
        </w:rPr>
        <w:t xml:space="preserve"> </w:t>
      </w:r>
      <w:r w:rsidRPr="008932F2">
        <w:rPr>
          <w:sz w:val="28"/>
          <w:szCs w:val="28"/>
          <w:u w:val="single"/>
        </w:rPr>
        <w:t>основывается на общем анализе листьев целого растения или отдельных органов, который позволяет контролировать обеспеченность растений элементами питания.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Химический состав проанализированных растений сравнивают со справочными таблицами и определяют их обеспеченность питательными элементами с учетом состояния, роста и развития этих растений в данную фазу.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проведения диагностического контроля питания растений образцы их отбирают с типичных для каждой культуры </w:t>
      </w:r>
      <w:proofErr w:type="spellStart"/>
      <w:r>
        <w:rPr>
          <w:sz w:val="28"/>
          <w:szCs w:val="28"/>
        </w:rPr>
        <w:t>фенофазы</w:t>
      </w:r>
      <w:proofErr w:type="spellEnd"/>
      <w:r>
        <w:rPr>
          <w:sz w:val="28"/>
          <w:szCs w:val="28"/>
        </w:rPr>
        <w:t xml:space="preserve"> с целью получения результатов, сопоставимых с </w:t>
      </w:r>
      <w:proofErr w:type="gramStart"/>
      <w:r>
        <w:rPr>
          <w:sz w:val="28"/>
          <w:szCs w:val="28"/>
        </w:rPr>
        <w:t>имеющимися</w:t>
      </w:r>
      <w:proofErr w:type="gramEnd"/>
      <w:r>
        <w:rPr>
          <w:sz w:val="28"/>
          <w:szCs w:val="28"/>
        </w:rPr>
        <w:t xml:space="preserve"> в справочниках.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Этот метод наиболее эффективен при раннем обнаружении недостатков в питании растений. Однако всегда очень важно учитывать специфику потребности в питательных элементах различных с.-х. культур по периодам вегетации.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 работе с проростками, рассадой и молодыми растениями обеспеченность минеральными элементами устанавливают на основании анализ всей надземной части.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У взрослых растений для определения нитратов берут нижнюю часть стебля и черешки нижних листьев, при вычислении суммарного выноса питательных веществ анализируют все органы растений.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У взрослых растений в первую очередь исследуют индикаторные органы, химический состав которых подвержен наибольшим изменениям в зависимости от условий питания. Параллельно проводят анализ корней и устанавливают соотношение содержания элементов минерального питания в листьях и корнях.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Для проведения химических анализов растений применяют общепринятые методики.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Данные о содержании в растениях неорганических форм питательных элементов, полученные </w:t>
      </w:r>
      <w:proofErr w:type="spellStart"/>
      <w:proofErr w:type="gramStart"/>
      <w:r>
        <w:rPr>
          <w:sz w:val="28"/>
          <w:szCs w:val="28"/>
        </w:rPr>
        <w:t>экспресс-методами</w:t>
      </w:r>
      <w:proofErr w:type="spellEnd"/>
      <w:proofErr w:type="gramEnd"/>
      <w:r>
        <w:rPr>
          <w:sz w:val="28"/>
          <w:szCs w:val="28"/>
        </w:rPr>
        <w:t xml:space="preserve"> тканевой диагностики, оценивают методом сравнения окрашенных пятен со шкалой. Пересчет баллов в мг/кг сырого вещества осуществляется по справочным таблицам.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Результаты определения содержания неорганических форм и </w:t>
      </w:r>
      <w:proofErr w:type="spellStart"/>
      <w:r>
        <w:rPr>
          <w:sz w:val="28"/>
          <w:szCs w:val="28"/>
        </w:rPr>
        <w:t>общено</w:t>
      </w:r>
      <w:proofErr w:type="spellEnd"/>
      <w:r>
        <w:rPr>
          <w:sz w:val="28"/>
          <w:szCs w:val="28"/>
        </w:rPr>
        <w:t xml:space="preserve"> количества химических элементов сопоставляют с уровнями – градациями их содержания. Заключение об обеспеченности растений элементами питания делают на основе определения относительного содержания элементов минерального питания, а также общего их накопления листьями или всем растением путем сравнения со справочными уровнями – градациями. Полученные цифры сопоставляют с результатами почвенных анализов и аналитическими данными урожая.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Рассчитывают и соотношение между минеральными элементами с целью установления степени сбалансированности питания по различным химическим элементам. Полученные соотношения сопоставляют со значениями, характеризующими высокий урожай той или иной культуры.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Принятую в производстве дозу удобрений на планируемый урожай уточняют согласно данным растительной диагностики: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</w:p>
    <w:p w:rsidR="005179FE" w:rsidRDefault="005179FE" w:rsidP="005179FE">
      <w:pPr>
        <w:ind w:firstLine="708"/>
        <w:jc w:val="center"/>
        <w:rPr>
          <w:sz w:val="28"/>
          <w:szCs w:val="28"/>
        </w:rPr>
      </w:pPr>
      <w:r w:rsidRPr="001E43F7">
        <w:rPr>
          <w:position w:val="-32"/>
          <w:sz w:val="28"/>
          <w:szCs w:val="28"/>
        </w:rPr>
        <w:object w:dxaOrig="1460" w:dyaOrig="720">
          <v:shape id="_x0000_i1027" type="#_x0000_t75" style="width:73.05pt;height:36pt" o:ole="">
            <v:imagedata r:id="rId8" o:title=""/>
          </v:shape>
          <o:OLEObject Type="Embed" ProgID="Equation.3" ShapeID="_x0000_i1027" DrawAspect="Content" ObjectID="_1672871901" r:id="rId9"/>
        </w:object>
      </w:r>
      <w:r>
        <w:rPr>
          <w:sz w:val="28"/>
          <w:szCs w:val="28"/>
        </w:rPr>
        <w:t>, где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Д – уточненная доза удобрений, кг/га д.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>.;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 – средняя доза, применяемая в хозяйстве, кг/га;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С</w:t>
      </w:r>
      <w:r w:rsidRPr="001010D1">
        <w:rPr>
          <w:sz w:val="28"/>
          <w:szCs w:val="28"/>
          <w:vertAlign w:val="subscript"/>
        </w:rPr>
        <w:t>опт</w:t>
      </w:r>
      <w:proofErr w:type="spellEnd"/>
      <w:r>
        <w:rPr>
          <w:sz w:val="28"/>
          <w:szCs w:val="28"/>
        </w:rPr>
        <w:t xml:space="preserve"> – оптимальное содержание питательного вещества в растениях, % сухого вещества;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С</w:t>
      </w:r>
      <w:r w:rsidRPr="001010D1">
        <w:rPr>
          <w:sz w:val="28"/>
          <w:szCs w:val="28"/>
          <w:vertAlign w:val="subscript"/>
        </w:rPr>
        <w:t>факт</w:t>
      </w:r>
      <w:proofErr w:type="spellEnd"/>
      <w:r>
        <w:rPr>
          <w:sz w:val="28"/>
          <w:szCs w:val="28"/>
        </w:rPr>
        <w:t xml:space="preserve"> – фактическое содержание питательного вещества в растениях, % сухого вещества;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 w:rsidRPr="001E43F7">
        <w:rPr>
          <w:position w:val="-32"/>
          <w:sz w:val="28"/>
          <w:szCs w:val="28"/>
        </w:rPr>
        <w:object w:dxaOrig="639" w:dyaOrig="720">
          <v:shape id="_x0000_i1028" type="#_x0000_t75" style="width:31.7pt;height:36pt" o:ole="">
            <v:imagedata r:id="rId10" o:title=""/>
          </v:shape>
          <o:OLEObject Type="Embed" ProgID="Equation.3" ShapeID="_x0000_i1028" DrawAspect="Content" ObjectID="_1672871902" r:id="rId11"/>
        </w:object>
      </w:r>
      <w:r>
        <w:rPr>
          <w:sz w:val="28"/>
          <w:szCs w:val="28"/>
        </w:rPr>
        <w:t xml:space="preserve"> - степень потребности растений в данном элементе.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случае несбалансированности соотношения между элементами в растении доза одного из них может быть уточнена относительно содержания другого элемента.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Например, при недостатке азота и избытке фосфора уточненная доза азота (Д</w:t>
      </w:r>
      <w:proofErr w:type="gramStart"/>
      <w:r w:rsidRPr="007F1BA3">
        <w:rPr>
          <w:sz w:val="28"/>
          <w:szCs w:val="28"/>
          <w:vertAlign w:val="subscript"/>
          <w:lang w:val="en-US"/>
        </w:rPr>
        <w:t>N</w:t>
      </w:r>
      <w:proofErr w:type="gramEnd"/>
      <w:r>
        <w:rPr>
          <w:sz w:val="28"/>
          <w:szCs w:val="28"/>
        </w:rPr>
        <w:t>) составит:</w:t>
      </w:r>
    </w:p>
    <w:p w:rsidR="005179FE" w:rsidRDefault="005179FE" w:rsidP="005179FE">
      <w:pPr>
        <w:ind w:firstLine="708"/>
        <w:jc w:val="center"/>
        <w:rPr>
          <w:sz w:val="28"/>
          <w:szCs w:val="28"/>
        </w:rPr>
      </w:pPr>
      <w:r w:rsidRPr="007F1BA3">
        <w:rPr>
          <w:position w:val="-32"/>
          <w:sz w:val="28"/>
          <w:szCs w:val="28"/>
        </w:rPr>
        <w:object w:dxaOrig="1800" w:dyaOrig="740">
          <v:shape id="_x0000_i1029" type="#_x0000_t75" style="width:90.25pt;height:37.05pt" o:ole="">
            <v:imagedata r:id="rId12" o:title=""/>
          </v:shape>
          <o:OLEObject Type="Embed" ProgID="Equation.3" ShapeID="_x0000_i1029" DrawAspect="Content" ObjectID="_1672871903" r:id="rId13"/>
        </w:object>
      </w:r>
      <w:r>
        <w:rPr>
          <w:sz w:val="28"/>
          <w:szCs w:val="28"/>
        </w:rPr>
        <w:t>,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где дозу фосфора (</w:t>
      </w:r>
      <w:proofErr w:type="spellStart"/>
      <w:proofErr w:type="gramStart"/>
      <w:r>
        <w:rPr>
          <w:sz w:val="28"/>
          <w:szCs w:val="28"/>
        </w:rPr>
        <w:t>Др</w:t>
      </w:r>
      <w:proofErr w:type="spellEnd"/>
      <w:proofErr w:type="gramEnd"/>
      <w:r>
        <w:rPr>
          <w:sz w:val="28"/>
          <w:szCs w:val="28"/>
        </w:rPr>
        <w:t>) по отношению к калию можно уточнить по формуле:</w:t>
      </w:r>
    </w:p>
    <w:p w:rsidR="005179FE" w:rsidRPr="007F1BA3" w:rsidRDefault="005179FE" w:rsidP="005179FE">
      <w:pPr>
        <w:jc w:val="center"/>
        <w:rPr>
          <w:sz w:val="28"/>
          <w:szCs w:val="28"/>
        </w:rPr>
      </w:pPr>
      <w:r w:rsidRPr="007F1BA3">
        <w:rPr>
          <w:position w:val="-32"/>
          <w:sz w:val="28"/>
          <w:szCs w:val="28"/>
        </w:rPr>
        <w:object w:dxaOrig="1760" w:dyaOrig="720">
          <v:shape id="_x0000_i1030" type="#_x0000_t75" style="width:88.1pt;height:36pt" o:ole="">
            <v:imagedata r:id="rId14" o:title=""/>
          </v:shape>
          <o:OLEObject Type="Embed" ProgID="Equation.3" ShapeID="_x0000_i1030" DrawAspect="Content" ObjectID="_1672871904" r:id="rId15"/>
        </w:objec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последние годы все больший интерес вызывает разработанный в США интегрированная система диагноза и рекомендаций (</w:t>
      </w:r>
      <w:proofErr w:type="gramStart"/>
      <w:r>
        <w:rPr>
          <w:sz w:val="28"/>
          <w:szCs w:val="28"/>
        </w:rPr>
        <w:t>Д</w:t>
      </w:r>
      <w:proofErr w:type="gramEnd"/>
      <w:r>
        <w:rPr>
          <w:sz w:val="28"/>
          <w:szCs w:val="28"/>
          <w:lang w:val="en-US"/>
        </w:rPr>
        <w:t>RIS</w:t>
      </w:r>
      <w:r>
        <w:rPr>
          <w:sz w:val="28"/>
          <w:szCs w:val="28"/>
        </w:rPr>
        <w:t>), в основу которой положен вероятностный подход, основанный на том, что сбалансированность элементов в растении реализуется закономерным характером их соотношений в тканях и органах. При этом допускается, что соотношение количеств элементов питания имеет большую диагностическую информативность, лучше отражает обеспеченность растений элементами с учетом их взаимосвязей.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нашей стране первые опыты с использованием интегрированной диагностической системы, получившей название ИСОД – интегрированная система оперативной диагностики, были проведены в почвенном институте им. В.В. Докучаева.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ИСОД – это комплекс методов, используемых для диагностики потребности в удобрениях, прогнозирования продуктивности растений и разработки моделей высокоплодородных почв. Степень влияния каждого фактора на показатели продуктивности по этой системе выражают в единицах индексах. Базовая основа расчета индекса – оптимальный уровень исследуемого фактора.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Постановка диагноза сводится к следующему: фактические соотношения количества элементов питания (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:Р</w:t>
      </w:r>
      <w:proofErr w:type="gramEnd"/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:К, </w:t>
      </w:r>
      <w:r w:rsidRPr="009759B1">
        <w:rPr>
          <w:sz w:val="28"/>
          <w:szCs w:val="28"/>
        </w:rPr>
        <w:t>Р</w:t>
      </w:r>
      <w:proofErr w:type="gramStart"/>
      <w:r w:rsidRPr="009759B1">
        <w:rPr>
          <w:sz w:val="28"/>
          <w:szCs w:val="28"/>
        </w:rPr>
        <w:t>:К</w:t>
      </w:r>
      <w:proofErr w:type="gramEnd"/>
      <w:r w:rsidRPr="009759B1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:</w:t>
      </w:r>
      <w:proofErr w:type="spellStart"/>
      <w:r>
        <w:rPr>
          <w:sz w:val="28"/>
          <w:szCs w:val="28"/>
        </w:rPr>
        <w:t>Са</w:t>
      </w:r>
      <w:proofErr w:type="spellEnd"/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:М</w:t>
      </w:r>
      <w:proofErr w:type="gramStart"/>
      <w:r>
        <w:rPr>
          <w:sz w:val="28"/>
          <w:szCs w:val="28"/>
          <w:lang w:val="en-US"/>
        </w:rPr>
        <w:t>g</w:t>
      </w:r>
      <w:proofErr w:type="gramEnd"/>
      <w:r>
        <w:rPr>
          <w:sz w:val="28"/>
          <w:szCs w:val="28"/>
        </w:rPr>
        <w:t xml:space="preserve"> и т. д.) в листьях сравнивают с нормативами, которые принимают постоянными для разных типов почв. Сравнения проводят по специально разработанным формулам сбалансированности элементов. Индекс показывает степень отклонения исследуемого фактора от зоны оптимума. Величина и знак индексов указывает на степень дефицитности элемента.</w:t>
      </w:r>
    </w:p>
    <w:p w:rsidR="005179FE" w:rsidRPr="00706EF8" w:rsidRDefault="005179FE" w:rsidP="005179FE">
      <w:pPr>
        <w:ind w:firstLine="708"/>
        <w:jc w:val="both"/>
        <w:rPr>
          <w:sz w:val="16"/>
          <w:szCs w:val="16"/>
        </w:rPr>
      </w:pPr>
    </w:p>
    <w:p w:rsidR="005179FE" w:rsidRDefault="005179FE" w:rsidP="005179FE">
      <w:pPr>
        <w:ind w:firstLine="708"/>
        <w:jc w:val="center"/>
        <w:rPr>
          <w:b/>
          <w:sz w:val="28"/>
          <w:szCs w:val="28"/>
        </w:rPr>
      </w:pPr>
      <w:r w:rsidRPr="00196F71">
        <w:rPr>
          <w:b/>
          <w:sz w:val="28"/>
          <w:szCs w:val="28"/>
        </w:rPr>
        <w:t>Функциональная диагностика</w:t>
      </w:r>
    </w:p>
    <w:p w:rsidR="005179FE" w:rsidRPr="00706EF8" w:rsidRDefault="005179FE" w:rsidP="005179FE">
      <w:pPr>
        <w:ind w:firstLine="708"/>
        <w:jc w:val="center"/>
        <w:rPr>
          <w:b/>
          <w:sz w:val="16"/>
          <w:szCs w:val="16"/>
        </w:rPr>
      </w:pP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До настоящего времени большинство исследователей в своих работах опираются на изучение лишь химического состава, в лучшем случае соотношения элементов в растении или питательной среде.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то же время известно, что поглощение различных элементов питания не всегда является показателем их необходимости растениям. Это основной факт, ограничивающий возможность применения химических методов диагностики по общему химическому составу и содержанию неорганических форм различных элементов. Кроме того, недостаток или избыток одних элементов может нарушить усвоение растениями других элементов питания. Например, дефицит фосфора приводит к накоплению нитратного азота, а дефицит бора – к его недостатку (нитратного азота).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настоящее время назрела необходимость в разработке методов функциональной диагностики, позволяющих оценить не содержание того или иного элемента, а потребность растений в нем.</w:t>
      </w:r>
    </w:p>
    <w:p w:rsidR="005179FE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Обеспеченность элементами питания можно установить, контролируя интенсивность физиолого-биохимических процессов. Например, уровень обеспеченности растений азотом и потребность в нем определяют по способности тканей по восстановлению нитратов в нитриты, то есть по активности фермента нитрат </w:t>
      </w:r>
      <w:proofErr w:type="spellStart"/>
      <w:r>
        <w:rPr>
          <w:sz w:val="28"/>
          <w:szCs w:val="28"/>
        </w:rPr>
        <w:t>редуктазы</w:t>
      </w:r>
      <w:proofErr w:type="spellEnd"/>
      <w:r>
        <w:rPr>
          <w:sz w:val="28"/>
          <w:szCs w:val="28"/>
        </w:rPr>
        <w:t xml:space="preserve">. </w:t>
      </w:r>
      <w:proofErr w:type="gramStart"/>
      <w:r>
        <w:rPr>
          <w:sz w:val="28"/>
          <w:szCs w:val="28"/>
        </w:rPr>
        <w:t>Метод определения фотохимической активности хлоропластов основан на измерении фотохимической активности суспензии хлоропластов по сравнению  с контролем без добавления элемента) делается заключение о необходимости элемента, при снижении – об избытке, а при активности одинаковой с контролем – о его оптимальной концентрации в питательной среде.</w:t>
      </w:r>
      <w:proofErr w:type="gramEnd"/>
    </w:p>
    <w:p w:rsidR="005179FE" w:rsidRPr="0014306D" w:rsidRDefault="005179FE" w:rsidP="00517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Функциональная диагностика в интенсивном земледелии позволяет достаточно оперативно оценить взаимодействие всех элементов и дать рекомендации по изменению технологии выращивания сельскохозяйственных культур.</w:t>
      </w:r>
    </w:p>
    <w:p w:rsidR="005179FE" w:rsidRDefault="005179FE" w:rsidP="005179FE">
      <w:pPr>
        <w:jc w:val="both"/>
        <w:rPr>
          <w:sz w:val="28"/>
          <w:szCs w:val="28"/>
        </w:rPr>
      </w:pPr>
    </w:p>
    <w:p w:rsidR="005179FE" w:rsidRPr="00967EA0" w:rsidRDefault="00967EA0" w:rsidP="00967EA0">
      <w:pPr>
        <w:ind w:firstLine="708"/>
        <w:rPr>
          <w:sz w:val="28"/>
          <w:szCs w:val="28"/>
        </w:rPr>
      </w:pPr>
      <w:r w:rsidRPr="00967EA0">
        <w:rPr>
          <w:sz w:val="28"/>
          <w:szCs w:val="28"/>
        </w:rPr>
        <w:t>ВОПРОСЫ:</w:t>
      </w:r>
    </w:p>
    <w:p w:rsidR="00967EA0" w:rsidRPr="00C46E42" w:rsidRDefault="00967EA0" w:rsidP="00967EA0">
      <w:pPr>
        <w:ind w:hanging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</w:t>
      </w:r>
      <w:r w:rsidRPr="00C46E42">
        <w:rPr>
          <w:sz w:val="28"/>
          <w:szCs w:val="28"/>
        </w:rPr>
        <w:t xml:space="preserve">1. </w:t>
      </w:r>
      <w:r>
        <w:rPr>
          <w:sz w:val="28"/>
          <w:szCs w:val="28"/>
        </w:rPr>
        <w:t>Какие существуют методы диагностики питания растений</w:t>
      </w:r>
    </w:p>
    <w:p w:rsidR="00967EA0" w:rsidRPr="00C46E42" w:rsidRDefault="00967EA0" w:rsidP="00967EA0">
      <w:pPr>
        <w:ind w:hanging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</w:t>
      </w:r>
      <w:r w:rsidRPr="00C46E42">
        <w:rPr>
          <w:sz w:val="28"/>
          <w:szCs w:val="28"/>
        </w:rPr>
        <w:t xml:space="preserve">2. </w:t>
      </w:r>
      <w:r>
        <w:rPr>
          <w:sz w:val="28"/>
          <w:szCs w:val="28"/>
        </w:rPr>
        <w:t>Какие химические анализы используются при почвенной диагностике</w:t>
      </w:r>
    </w:p>
    <w:p w:rsidR="00967EA0" w:rsidRPr="00C46E42" w:rsidRDefault="00967EA0" w:rsidP="00967EA0">
      <w:pPr>
        <w:ind w:hanging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</w:t>
      </w:r>
      <w:r w:rsidRPr="00C46E42">
        <w:rPr>
          <w:sz w:val="28"/>
          <w:szCs w:val="28"/>
        </w:rPr>
        <w:t xml:space="preserve">3. </w:t>
      </w:r>
      <w:r>
        <w:rPr>
          <w:sz w:val="28"/>
          <w:szCs w:val="28"/>
        </w:rPr>
        <w:t>Что входит в понятие визуальная диагностика</w:t>
      </w:r>
    </w:p>
    <w:p w:rsidR="00967EA0" w:rsidRPr="00C46E42" w:rsidRDefault="00967EA0" w:rsidP="00967EA0">
      <w:pPr>
        <w:ind w:hanging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</w:t>
      </w:r>
      <w:r w:rsidRPr="00C46E42">
        <w:rPr>
          <w:sz w:val="28"/>
          <w:szCs w:val="28"/>
        </w:rPr>
        <w:t xml:space="preserve">4. </w:t>
      </w:r>
      <w:r>
        <w:rPr>
          <w:sz w:val="28"/>
          <w:szCs w:val="28"/>
        </w:rPr>
        <w:t>Каковы внешние признаки недостаточности отдельных элементов питания</w:t>
      </w:r>
    </w:p>
    <w:p w:rsidR="005179FE" w:rsidRDefault="005179FE" w:rsidP="005179FE">
      <w:pPr>
        <w:ind w:firstLine="708"/>
        <w:jc w:val="center"/>
        <w:rPr>
          <w:b/>
          <w:sz w:val="28"/>
          <w:szCs w:val="28"/>
        </w:rPr>
      </w:pPr>
    </w:p>
    <w:p w:rsidR="005179FE" w:rsidRDefault="005179FE" w:rsidP="005179FE">
      <w:pPr>
        <w:ind w:firstLine="708"/>
        <w:jc w:val="center"/>
        <w:rPr>
          <w:b/>
          <w:sz w:val="28"/>
          <w:szCs w:val="28"/>
        </w:rPr>
      </w:pPr>
    </w:p>
    <w:p w:rsidR="005179FE" w:rsidRDefault="005179FE" w:rsidP="005179FE">
      <w:pPr>
        <w:ind w:firstLine="708"/>
        <w:jc w:val="center"/>
        <w:rPr>
          <w:b/>
          <w:sz w:val="28"/>
          <w:szCs w:val="28"/>
        </w:rPr>
      </w:pPr>
    </w:p>
    <w:p w:rsidR="005179FE" w:rsidRDefault="005179FE" w:rsidP="005179FE">
      <w:pPr>
        <w:ind w:firstLine="708"/>
        <w:jc w:val="center"/>
        <w:rPr>
          <w:b/>
          <w:sz w:val="28"/>
          <w:szCs w:val="28"/>
        </w:rPr>
      </w:pPr>
    </w:p>
    <w:p w:rsidR="005179FE" w:rsidRDefault="005179FE" w:rsidP="005179FE">
      <w:pPr>
        <w:ind w:firstLine="708"/>
        <w:jc w:val="center"/>
        <w:rPr>
          <w:b/>
          <w:sz w:val="28"/>
          <w:szCs w:val="28"/>
        </w:rPr>
      </w:pPr>
    </w:p>
    <w:p w:rsidR="005179FE" w:rsidRDefault="005179FE" w:rsidP="005179FE">
      <w:pPr>
        <w:ind w:firstLine="708"/>
        <w:jc w:val="center"/>
        <w:rPr>
          <w:b/>
          <w:sz w:val="28"/>
          <w:szCs w:val="28"/>
        </w:rPr>
      </w:pPr>
    </w:p>
    <w:p w:rsidR="005179FE" w:rsidRDefault="005179FE" w:rsidP="005179FE">
      <w:pPr>
        <w:ind w:firstLine="708"/>
        <w:jc w:val="center"/>
        <w:rPr>
          <w:b/>
          <w:sz w:val="28"/>
          <w:szCs w:val="28"/>
        </w:rPr>
      </w:pPr>
    </w:p>
    <w:p w:rsidR="005179FE" w:rsidRDefault="005179FE" w:rsidP="005179FE">
      <w:pPr>
        <w:ind w:firstLine="708"/>
        <w:jc w:val="center"/>
        <w:rPr>
          <w:b/>
          <w:sz w:val="28"/>
          <w:szCs w:val="28"/>
        </w:rPr>
      </w:pPr>
    </w:p>
    <w:p w:rsidR="005179FE" w:rsidRDefault="005179FE" w:rsidP="005179FE">
      <w:pPr>
        <w:ind w:firstLine="708"/>
        <w:jc w:val="center"/>
        <w:rPr>
          <w:b/>
          <w:sz w:val="28"/>
          <w:szCs w:val="28"/>
        </w:rPr>
      </w:pPr>
    </w:p>
    <w:p w:rsidR="005179FE" w:rsidRDefault="005179FE" w:rsidP="005179FE">
      <w:pPr>
        <w:ind w:firstLine="708"/>
        <w:jc w:val="center"/>
        <w:rPr>
          <w:b/>
          <w:sz w:val="28"/>
          <w:szCs w:val="28"/>
        </w:rPr>
      </w:pPr>
    </w:p>
    <w:p w:rsidR="005179FE" w:rsidRDefault="005179FE" w:rsidP="005179FE">
      <w:pPr>
        <w:ind w:firstLine="708"/>
        <w:jc w:val="center"/>
        <w:rPr>
          <w:b/>
          <w:sz w:val="28"/>
          <w:szCs w:val="28"/>
        </w:rPr>
      </w:pPr>
    </w:p>
    <w:p w:rsidR="005179FE" w:rsidRDefault="005179FE" w:rsidP="005179FE">
      <w:pPr>
        <w:ind w:firstLine="708"/>
        <w:jc w:val="center"/>
        <w:rPr>
          <w:b/>
          <w:sz w:val="28"/>
          <w:szCs w:val="28"/>
        </w:rPr>
      </w:pPr>
    </w:p>
    <w:p w:rsidR="005179FE" w:rsidRDefault="005179FE" w:rsidP="005179FE">
      <w:pPr>
        <w:ind w:firstLine="708"/>
        <w:jc w:val="center"/>
        <w:rPr>
          <w:b/>
          <w:sz w:val="28"/>
          <w:szCs w:val="28"/>
        </w:rPr>
      </w:pPr>
    </w:p>
    <w:p w:rsidR="005179FE" w:rsidRDefault="005179FE" w:rsidP="005179FE">
      <w:pPr>
        <w:ind w:firstLine="708"/>
        <w:jc w:val="center"/>
        <w:rPr>
          <w:b/>
          <w:sz w:val="28"/>
          <w:szCs w:val="28"/>
        </w:rPr>
      </w:pPr>
    </w:p>
    <w:p w:rsidR="005179FE" w:rsidRDefault="005179FE" w:rsidP="005179FE">
      <w:pPr>
        <w:ind w:firstLine="708"/>
        <w:jc w:val="center"/>
        <w:rPr>
          <w:b/>
          <w:sz w:val="28"/>
          <w:szCs w:val="28"/>
        </w:rPr>
      </w:pPr>
    </w:p>
    <w:p w:rsidR="005179FE" w:rsidRDefault="005179FE" w:rsidP="005179FE">
      <w:pPr>
        <w:ind w:firstLine="708"/>
        <w:jc w:val="center"/>
        <w:rPr>
          <w:b/>
          <w:sz w:val="28"/>
          <w:szCs w:val="28"/>
        </w:rPr>
      </w:pPr>
    </w:p>
    <w:p w:rsidR="005179FE" w:rsidRDefault="005179FE" w:rsidP="005179FE">
      <w:pPr>
        <w:ind w:firstLine="708"/>
        <w:jc w:val="center"/>
        <w:rPr>
          <w:b/>
          <w:sz w:val="28"/>
          <w:szCs w:val="28"/>
        </w:rPr>
      </w:pPr>
    </w:p>
    <w:p w:rsidR="005179FE" w:rsidRDefault="005179FE" w:rsidP="005179FE">
      <w:pPr>
        <w:ind w:firstLine="708"/>
        <w:jc w:val="center"/>
        <w:rPr>
          <w:b/>
          <w:sz w:val="28"/>
          <w:szCs w:val="28"/>
        </w:rPr>
      </w:pPr>
    </w:p>
    <w:p w:rsidR="005179FE" w:rsidRDefault="005179FE" w:rsidP="005179FE">
      <w:pPr>
        <w:ind w:firstLine="708"/>
        <w:jc w:val="center"/>
        <w:rPr>
          <w:b/>
          <w:sz w:val="28"/>
          <w:szCs w:val="28"/>
        </w:rPr>
      </w:pPr>
    </w:p>
    <w:p w:rsidR="005179FE" w:rsidRDefault="005179FE" w:rsidP="005179FE">
      <w:pPr>
        <w:ind w:firstLine="708"/>
        <w:jc w:val="center"/>
        <w:rPr>
          <w:b/>
          <w:sz w:val="28"/>
          <w:szCs w:val="28"/>
        </w:rPr>
      </w:pPr>
    </w:p>
    <w:p w:rsidR="005179FE" w:rsidRDefault="005179FE" w:rsidP="005179FE">
      <w:pPr>
        <w:ind w:firstLine="708"/>
        <w:jc w:val="center"/>
        <w:rPr>
          <w:b/>
          <w:sz w:val="28"/>
          <w:szCs w:val="28"/>
        </w:rPr>
      </w:pPr>
    </w:p>
    <w:p w:rsidR="005179FE" w:rsidRDefault="005179FE" w:rsidP="005179FE">
      <w:pPr>
        <w:ind w:firstLine="708"/>
        <w:jc w:val="center"/>
        <w:rPr>
          <w:b/>
          <w:sz w:val="28"/>
          <w:szCs w:val="28"/>
        </w:rPr>
      </w:pPr>
    </w:p>
    <w:p w:rsidR="005179FE" w:rsidRDefault="005179FE" w:rsidP="005179FE">
      <w:pPr>
        <w:ind w:firstLine="708"/>
        <w:jc w:val="center"/>
        <w:rPr>
          <w:b/>
          <w:sz w:val="28"/>
          <w:szCs w:val="28"/>
        </w:rPr>
      </w:pPr>
    </w:p>
    <w:p w:rsidR="005179FE" w:rsidRDefault="005179FE" w:rsidP="005179FE">
      <w:pPr>
        <w:ind w:firstLine="708"/>
        <w:jc w:val="center"/>
        <w:rPr>
          <w:b/>
          <w:sz w:val="28"/>
          <w:szCs w:val="28"/>
        </w:rPr>
      </w:pPr>
    </w:p>
    <w:p w:rsidR="005179FE" w:rsidRDefault="005179FE" w:rsidP="005179FE">
      <w:pPr>
        <w:ind w:firstLine="708"/>
        <w:jc w:val="center"/>
        <w:rPr>
          <w:b/>
          <w:sz w:val="28"/>
          <w:szCs w:val="28"/>
        </w:rPr>
      </w:pPr>
    </w:p>
    <w:p w:rsidR="005179FE" w:rsidRDefault="005179FE" w:rsidP="005179FE">
      <w:pPr>
        <w:ind w:firstLine="708"/>
        <w:jc w:val="center"/>
        <w:rPr>
          <w:b/>
          <w:sz w:val="28"/>
          <w:szCs w:val="28"/>
        </w:rPr>
      </w:pPr>
    </w:p>
    <w:p w:rsidR="005179FE" w:rsidRDefault="005179FE" w:rsidP="005179FE">
      <w:pPr>
        <w:ind w:firstLine="708"/>
        <w:jc w:val="center"/>
        <w:rPr>
          <w:b/>
          <w:sz w:val="28"/>
          <w:szCs w:val="28"/>
        </w:rPr>
      </w:pPr>
    </w:p>
    <w:p w:rsidR="005179FE" w:rsidRDefault="005179FE" w:rsidP="005179FE">
      <w:pPr>
        <w:ind w:firstLine="708"/>
        <w:jc w:val="center"/>
        <w:rPr>
          <w:b/>
          <w:sz w:val="28"/>
          <w:szCs w:val="28"/>
        </w:rPr>
      </w:pPr>
    </w:p>
    <w:p w:rsidR="005179FE" w:rsidRDefault="005179FE" w:rsidP="005179FE">
      <w:pPr>
        <w:ind w:firstLine="708"/>
        <w:jc w:val="center"/>
        <w:rPr>
          <w:b/>
          <w:sz w:val="28"/>
          <w:szCs w:val="28"/>
        </w:rPr>
      </w:pPr>
    </w:p>
    <w:p w:rsidR="005179FE" w:rsidRDefault="005179FE" w:rsidP="005179FE">
      <w:pPr>
        <w:ind w:firstLine="708"/>
        <w:jc w:val="center"/>
        <w:rPr>
          <w:b/>
          <w:sz w:val="28"/>
          <w:szCs w:val="28"/>
        </w:rPr>
      </w:pPr>
    </w:p>
    <w:p w:rsidR="005179FE" w:rsidRDefault="005179FE" w:rsidP="005179FE">
      <w:pPr>
        <w:ind w:firstLine="708"/>
        <w:jc w:val="center"/>
        <w:rPr>
          <w:b/>
          <w:sz w:val="28"/>
          <w:szCs w:val="28"/>
        </w:rPr>
      </w:pPr>
    </w:p>
    <w:p w:rsidR="00BB2E30" w:rsidRDefault="00BB2E30"/>
    <w:sectPr w:rsidR="00BB2E30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savePreviewPicture/>
  <w:compat/>
  <w:rsids>
    <w:rsidRoot w:val="005179FE"/>
    <w:rsid w:val="005179FE"/>
    <w:rsid w:val="00780F54"/>
    <w:rsid w:val="00967EA0"/>
    <w:rsid w:val="00BB2E30"/>
    <w:rsid w:val="00CF21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79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2829</Words>
  <Characters>16127</Characters>
  <Application>Microsoft Office Word</Application>
  <DocSecurity>0</DocSecurity>
  <Lines>134</Lines>
  <Paragraphs>37</Paragraphs>
  <ScaleCrop>false</ScaleCrop>
  <Company/>
  <LinksUpToDate>false</LinksUpToDate>
  <CharactersWithSpaces>18919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2021-01-22T19:49:00Z</dcterms:created>
  <dcterms:modified xsi:type="dcterms:W3CDTF">2021-01-22T19:49:00Z</dcterms:modified>
</cp:coreProperties>
</file>